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A3173" w14:textId="77777777" w:rsidR="003964C4" w:rsidRDefault="00EF7762" w:rsidP="003518AB">
      <w:pPr>
        <w:jc w:val="center"/>
        <w:rPr>
          <w:rFonts w:ascii="Times New Roman" w:hAnsi="Times New Roman"/>
          <w:b/>
          <w:bCs/>
          <w:color w:val="1F1F1F"/>
          <w:szCs w:val="24"/>
          <w:shd w:val="clear" w:color="auto" w:fill="FFFFFF"/>
        </w:rPr>
      </w:pPr>
      <w:r w:rsidRPr="002120E2">
        <w:rPr>
          <w:rFonts w:ascii="Times New Roman" w:hAnsi="Times New Roman"/>
          <w:szCs w:val="24"/>
        </w:rPr>
        <w:br/>
      </w:r>
    </w:p>
    <w:p w14:paraId="3C3963A7" w14:textId="77777777" w:rsidR="003964C4" w:rsidRDefault="003964C4" w:rsidP="003518AB">
      <w:pPr>
        <w:jc w:val="center"/>
        <w:rPr>
          <w:rFonts w:ascii="Times New Roman" w:hAnsi="Times New Roman"/>
          <w:b/>
          <w:bCs/>
          <w:color w:val="1F1F1F"/>
          <w:szCs w:val="24"/>
          <w:shd w:val="clear" w:color="auto" w:fill="FFFFFF"/>
        </w:rPr>
      </w:pPr>
    </w:p>
    <w:p w14:paraId="183D81F4" w14:textId="77777777" w:rsidR="003964C4" w:rsidRDefault="003964C4" w:rsidP="003518AB">
      <w:pPr>
        <w:jc w:val="center"/>
        <w:rPr>
          <w:rFonts w:ascii="Times New Roman" w:hAnsi="Times New Roman"/>
          <w:b/>
          <w:bCs/>
          <w:color w:val="1F1F1F"/>
          <w:szCs w:val="24"/>
          <w:shd w:val="clear" w:color="auto" w:fill="FFFFFF"/>
        </w:rPr>
      </w:pPr>
    </w:p>
    <w:p w14:paraId="7ACD221F" w14:textId="77777777" w:rsidR="003964C4" w:rsidRDefault="003964C4" w:rsidP="003518AB">
      <w:pPr>
        <w:jc w:val="center"/>
        <w:rPr>
          <w:rFonts w:ascii="Times New Roman" w:hAnsi="Times New Roman"/>
          <w:b/>
          <w:bCs/>
          <w:color w:val="1F1F1F"/>
          <w:szCs w:val="24"/>
          <w:shd w:val="clear" w:color="auto" w:fill="FFFFFF"/>
        </w:rPr>
      </w:pPr>
    </w:p>
    <w:p w14:paraId="498CE152" w14:textId="77777777" w:rsidR="003964C4" w:rsidRDefault="003964C4" w:rsidP="003518AB">
      <w:pPr>
        <w:jc w:val="center"/>
        <w:rPr>
          <w:rFonts w:ascii="Times New Roman" w:hAnsi="Times New Roman"/>
          <w:b/>
          <w:bCs/>
          <w:color w:val="1F1F1F"/>
          <w:szCs w:val="24"/>
          <w:shd w:val="clear" w:color="auto" w:fill="FFFFFF"/>
        </w:rPr>
      </w:pPr>
    </w:p>
    <w:p w14:paraId="51181C4E" w14:textId="77777777" w:rsidR="003964C4" w:rsidRDefault="003964C4" w:rsidP="003518AB">
      <w:pPr>
        <w:jc w:val="center"/>
        <w:rPr>
          <w:rFonts w:ascii="Times New Roman" w:hAnsi="Times New Roman"/>
          <w:b/>
          <w:bCs/>
          <w:color w:val="1F1F1F"/>
          <w:szCs w:val="24"/>
          <w:shd w:val="clear" w:color="auto" w:fill="FFFFFF"/>
        </w:rPr>
      </w:pPr>
    </w:p>
    <w:p w14:paraId="1D95EF66" w14:textId="3CACED4B" w:rsidR="00EF7762" w:rsidRPr="002120E2" w:rsidRDefault="00EF7762" w:rsidP="003518AB">
      <w:pPr>
        <w:jc w:val="center"/>
        <w:rPr>
          <w:rFonts w:ascii="Times New Roman" w:hAnsi="Times New Roman"/>
          <w:b/>
          <w:bCs/>
          <w:color w:val="1F1F1F"/>
          <w:szCs w:val="24"/>
          <w:shd w:val="clear" w:color="auto" w:fill="FFFFFF"/>
        </w:rPr>
      </w:pPr>
      <w:r w:rsidRPr="002120E2">
        <w:rPr>
          <w:rFonts w:ascii="Times New Roman" w:hAnsi="Times New Roman"/>
          <w:b/>
          <w:bCs/>
          <w:color w:val="1F1F1F"/>
          <w:szCs w:val="24"/>
          <w:shd w:val="clear" w:color="auto" w:fill="FFFFFF"/>
        </w:rPr>
        <w:t>Multivariate Analysis of Walking Habits After COVID-19</w:t>
      </w:r>
    </w:p>
    <w:p w14:paraId="12080E9D" w14:textId="6CF7B1B0" w:rsidR="00334957" w:rsidRDefault="00334957" w:rsidP="003518AB">
      <w:pPr>
        <w:rPr>
          <w:rFonts w:eastAsiaTheme="minorEastAsia"/>
          <w:b/>
          <w:lang w:eastAsia="ko-KR"/>
        </w:rPr>
      </w:pPr>
    </w:p>
    <w:p w14:paraId="75688D84" w14:textId="470A0666" w:rsidR="003964C4" w:rsidRDefault="003964C4" w:rsidP="003518AB">
      <w:pPr>
        <w:rPr>
          <w:rFonts w:eastAsiaTheme="minorEastAsia"/>
          <w:b/>
          <w:lang w:eastAsia="ko-KR"/>
        </w:rPr>
      </w:pPr>
    </w:p>
    <w:p w14:paraId="66A46439" w14:textId="4BA5D17F" w:rsidR="003964C4" w:rsidRDefault="003964C4" w:rsidP="003518AB">
      <w:pPr>
        <w:rPr>
          <w:rFonts w:eastAsiaTheme="minorEastAsia"/>
          <w:b/>
          <w:lang w:eastAsia="ko-KR"/>
        </w:rPr>
      </w:pPr>
    </w:p>
    <w:p w14:paraId="3362D977" w14:textId="2502AFCF" w:rsidR="003964C4" w:rsidRDefault="003964C4" w:rsidP="003518AB">
      <w:pPr>
        <w:rPr>
          <w:rFonts w:eastAsiaTheme="minorEastAsia"/>
          <w:b/>
          <w:lang w:eastAsia="ko-KR"/>
        </w:rPr>
      </w:pPr>
    </w:p>
    <w:p w14:paraId="731F5902" w14:textId="77777777" w:rsidR="003964C4" w:rsidRDefault="003964C4" w:rsidP="003518AB">
      <w:pPr>
        <w:rPr>
          <w:rFonts w:eastAsiaTheme="minorEastAsia"/>
          <w:b/>
          <w:lang w:eastAsia="ko-KR"/>
        </w:rPr>
      </w:pPr>
    </w:p>
    <w:p w14:paraId="3E3F89DB" w14:textId="269872F2" w:rsidR="003964C4" w:rsidRDefault="003964C4" w:rsidP="003518AB">
      <w:pPr>
        <w:rPr>
          <w:rFonts w:eastAsiaTheme="minorEastAsia"/>
          <w:b/>
          <w:lang w:eastAsia="ko-KR"/>
        </w:rPr>
      </w:pPr>
    </w:p>
    <w:p w14:paraId="417E8654" w14:textId="77777777" w:rsidR="003964C4" w:rsidRDefault="003964C4" w:rsidP="003518AB">
      <w:pPr>
        <w:rPr>
          <w:rFonts w:eastAsiaTheme="minorEastAsia"/>
          <w:b/>
          <w:lang w:eastAsia="ko-KR"/>
        </w:rPr>
      </w:pPr>
    </w:p>
    <w:p w14:paraId="16CAC10C" w14:textId="77777777" w:rsidR="003964C4" w:rsidRPr="00AB6F92" w:rsidRDefault="003964C4" w:rsidP="003964C4">
      <w:pPr>
        <w:jc w:val="center"/>
        <w:rPr>
          <w:b/>
        </w:rPr>
      </w:pPr>
      <w:proofErr w:type="spellStart"/>
      <w:r>
        <w:rPr>
          <w:b/>
        </w:rPr>
        <w:t>Hyunjun</w:t>
      </w:r>
      <w:proofErr w:type="spellEnd"/>
      <w:r>
        <w:rPr>
          <w:b/>
        </w:rPr>
        <w:t xml:space="preserve"> Hwang</w:t>
      </w:r>
    </w:p>
    <w:p w14:paraId="7B5CA214" w14:textId="77777777" w:rsidR="003964C4" w:rsidRDefault="003964C4" w:rsidP="003964C4">
      <w:pPr>
        <w:jc w:val="center"/>
      </w:pPr>
      <w:r>
        <w:t>The University of Texas at Austin</w:t>
      </w:r>
    </w:p>
    <w:p w14:paraId="2BC2C65D" w14:textId="48B3A27F" w:rsidR="003964C4" w:rsidRDefault="003964C4" w:rsidP="003964C4">
      <w:pPr>
        <w:jc w:val="center"/>
      </w:pPr>
      <w:r>
        <w:t>Department of Civil, Architectural and Environmental Engineering</w:t>
      </w:r>
    </w:p>
    <w:p w14:paraId="6A40A33E" w14:textId="2E6DC904" w:rsidR="003964C4" w:rsidRDefault="003964C4" w:rsidP="003964C4">
      <w:pPr>
        <w:jc w:val="center"/>
      </w:pPr>
      <w:r>
        <w:t>301 E. Dean Keeton St. Stop C1761, Austin TX 78712, USA</w:t>
      </w:r>
    </w:p>
    <w:p w14:paraId="4CC369F9" w14:textId="44C560FD" w:rsidR="003964C4" w:rsidRDefault="003964C4" w:rsidP="003964C4">
      <w:pPr>
        <w:jc w:val="center"/>
      </w:pPr>
      <w:r>
        <w:t xml:space="preserve">Email: </w:t>
      </w:r>
      <w:hyperlink r:id="rId8" w:history="1">
        <w:r w:rsidRPr="00B545AE">
          <w:rPr>
            <w:rStyle w:val="Hyperlink"/>
          </w:rPr>
          <w:t>hjhwang@utexas.edu</w:t>
        </w:r>
      </w:hyperlink>
    </w:p>
    <w:p w14:paraId="7FC5573C" w14:textId="77777777" w:rsidR="003964C4" w:rsidRDefault="003964C4" w:rsidP="003964C4">
      <w:pPr>
        <w:jc w:val="center"/>
        <w:rPr>
          <w:b/>
        </w:rPr>
      </w:pPr>
    </w:p>
    <w:p w14:paraId="50B09A92" w14:textId="77777777" w:rsidR="003964C4" w:rsidRPr="00AB6F92" w:rsidRDefault="003964C4" w:rsidP="003964C4">
      <w:pPr>
        <w:jc w:val="center"/>
        <w:rPr>
          <w:b/>
        </w:rPr>
      </w:pPr>
      <w:r w:rsidRPr="00AB6F92">
        <w:rPr>
          <w:b/>
        </w:rPr>
        <w:t xml:space="preserve">Angela </w:t>
      </w:r>
      <w:r>
        <w:rPr>
          <w:b/>
        </w:rPr>
        <w:t xml:space="preserve">J. </w:t>
      </w:r>
      <w:r w:rsidRPr="00AB6F92">
        <w:rPr>
          <w:b/>
        </w:rPr>
        <w:t>Haddad</w:t>
      </w:r>
    </w:p>
    <w:p w14:paraId="2226C3F5" w14:textId="77777777" w:rsidR="003964C4" w:rsidRDefault="003964C4" w:rsidP="003964C4">
      <w:pPr>
        <w:jc w:val="center"/>
      </w:pPr>
      <w:r>
        <w:t>The University of Texas at Austin</w:t>
      </w:r>
    </w:p>
    <w:p w14:paraId="44385D94" w14:textId="6326AF23" w:rsidR="003964C4" w:rsidRDefault="003964C4" w:rsidP="003964C4">
      <w:pPr>
        <w:jc w:val="center"/>
      </w:pPr>
      <w:r>
        <w:t>Department of Civil, Architectural and Environmental Engineering</w:t>
      </w:r>
    </w:p>
    <w:p w14:paraId="416ACCDC" w14:textId="5E19BAC3" w:rsidR="003964C4" w:rsidRDefault="003964C4" w:rsidP="003964C4">
      <w:pPr>
        <w:jc w:val="center"/>
      </w:pPr>
      <w:r>
        <w:t>301 E. Dean Keeton St. Stop C1761, Austin TX 78712, USA</w:t>
      </w:r>
    </w:p>
    <w:p w14:paraId="3941E273" w14:textId="1C1EBE02" w:rsidR="003964C4" w:rsidRDefault="003964C4" w:rsidP="003964C4">
      <w:pPr>
        <w:jc w:val="center"/>
      </w:pPr>
      <w:r>
        <w:t xml:space="preserve">Email: </w:t>
      </w:r>
      <w:hyperlink r:id="rId9" w:history="1">
        <w:r w:rsidRPr="00B545AE">
          <w:rPr>
            <w:rStyle w:val="Hyperlink"/>
          </w:rPr>
          <w:t>angela.haddad@utexas.edu</w:t>
        </w:r>
      </w:hyperlink>
    </w:p>
    <w:p w14:paraId="2F99170B" w14:textId="77777777" w:rsidR="003964C4" w:rsidRDefault="003964C4" w:rsidP="003964C4">
      <w:pPr>
        <w:jc w:val="center"/>
      </w:pPr>
    </w:p>
    <w:p w14:paraId="1F15BC7E" w14:textId="77777777" w:rsidR="003964C4" w:rsidRPr="002133FD" w:rsidRDefault="003964C4" w:rsidP="003964C4">
      <w:pPr>
        <w:jc w:val="center"/>
        <w:rPr>
          <w:rFonts w:eastAsiaTheme="minorEastAsia"/>
          <w:b/>
          <w:lang w:eastAsia="ko-KR"/>
        </w:rPr>
      </w:pPr>
      <w:r w:rsidRPr="00274409">
        <w:rPr>
          <w:b/>
        </w:rPr>
        <w:t xml:space="preserve">Chandra R. Bhat </w:t>
      </w:r>
      <w:r>
        <w:rPr>
          <w:rFonts w:eastAsiaTheme="minorEastAsia" w:hint="eastAsia"/>
          <w:b/>
          <w:lang w:eastAsia="ko-KR"/>
        </w:rPr>
        <w:t>(Corresponding author)</w:t>
      </w:r>
    </w:p>
    <w:p w14:paraId="1FECE9CB" w14:textId="626C0D2B" w:rsidR="003964C4" w:rsidRDefault="003964C4" w:rsidP="003964C4">
      <w:pPr>
        <w:jc w:val="center"/>
      </w:pPr>
      <w:r>
        <w:t>The University of Texas at Austin</w:t>
      </w:r>
    </w:p>
    <w:p w14:paraId="5ED1D72D" w14:textId="66421E88" w:rsidR="003964C4" w:rsidRDefault="003964C4" w:rsidP="003964C4">
      <w:pPr>
        <w:jc w:val="center"/>
      </w:pPr>
      <w:r>
        <w:t>Department of Civil, Architectural and Environmental Engineering</w:t>
      </w:r>
    </w:p>
    <w:p w14:paraId="3338CFA9" w14:textId="119A4789" w:rsidR="003964C4" w:rsidRDefault="003964C4" w:rsidP="003964C4">
      <w:pPr>
        <w:jc w:val="center"/>
      </w:pPr>
      <w:r>
        <w:t>301 E. Dean Keeton St. Stop C1761, Austin TX 78712, USA</w:t>
      </w:r>
    </w:p>
    <w:p w14:paraId="258358F8" w14:textId="66B71D79" w:rsidR="003964C4" w:rsidRDefault="003964C4" w:rsidP="003964C4">
      <w:pPr>
        <w:jc w:val="center"/>
      </w:pPr>
      <w:r>
        <w:t xml:space="preserve">Tel: 1-512-471-4535; Email: </w:t>
      </w:r>
      <w:hyperlink r:id="rId10" w:history="1">
        <w:r w:rsidRPr="00B545AE">
          <w:rPr>
            <w:rStyle w:val="Hyperlink"/>
          </w:rPr>
          <w:t>bhat@mail.utexas.edu</w:t>
        </w:r>
      </w:hyperlink>
    </w:p>
    <w:p w14:paraId="3AF8DC04" w14:textId="77777777" w:rsidR="003964C4" w:rsidRDefault="003964C4" w:rsidP="003964C4">
      <w:pPr>
        <w:jc w:val="center"/>
      </w:pPr>
    </w:p>
    <w:p w14:paraId="781D4896" w14:textId="77777777" w:rsidR="003964C4" w:rsidRDefault="003964C4" w:rsidP="003964C4">
      <w:pPr>
        <w:spacing w:line="276" w:lineRule="auto"/>
        <w:jc w:val="center"/>
        <w:rPr>
          <w:rFonts w:eastAsiaTheme="minorEastAsia"/>
          <w:lang w:eastAsia="ko-KR"/>
        </w:rPr>
      </w:pPr>
    </w:p>
    <w:p w14:paraId="01307124" w14:textId="77777777" w:rsidR="00D631DD" w:rsidRPr="00D631DD" w:rsidRDefault="00D631DD" w:rsidP="003518AB">
      <w:pPr>
        <w:rPr>
          <w:rFonts w:eastAsiaTheme="minorEastAsia"/>
          <w:lang w:eastAsia="ko-KR"/>
        </w:rPr>
      </w:pPr>
    </w:p>
    <w:p w14:paraId="669A1646" w14:textId="77777777" w:rsidR="003964C4" w:rsidRDefault="003964C4" w:rsidP="003518AB">
      <w:pPr>
        <w:pStyle w:val="Heading1"/>
        <w:numPr>
          <w:ilvl w:val="0"/>
          <w:numId w:val="0"/>
        </w:numPr>
        <w:spacing w:line="240" w:lineRule="auto"/>
        <w:ind w:left="360" w:hanging="360"/>
        <w:contextualSpacing w:val="0"/>
        <w:sectPr w:rsidR="003964C4" w:rsidSect="0079717F">
          <w:footerReference w:type="default" r:id="rId11"/>
          <w:pgSz w:w="12240" w:h="15840"/>
          <w:pgMar w:top="1440" w:right="1440" w:bottom="1440" w:left="1440" w:header="720" w:footer="720" w:gutter="0"/>
          <w:cols w:space="720"/>
          <w:docGrid w:linePitch="360"/>
        </w:sectPr>
      </w:pPr>
    </w:p>
    <w:p w14:paraId="65CD94E8" w14:textId="7489D415" w:rsidR="00334957" w:rsidRDefault="003A14A0" w:rsidP="003518AB">
      <w:pPr>
        <w:pStyle w:val="Heading1"/>
        <w:numPr>
          <w:ilvl w:val="0"/>
          <w:numId w:val="0"/>
        </w:numPr>
        <w:spacing w:line="240" w:lineRule="auto"/>
        <w:ind w:left="360" w:hanging="360"/>
        <w:contextualSpacing w:val="0"/>
      </w:pPr>
      <w:r>
        <w:lastRenderedPageBreak/>
        <w:t>Abstract</w:t>
      </w:r>
    </w:p>
    <w:p w14:paraId="0AD3C7F0" w14:textId="4EE7966A" w:rsidR="0027056D" w:rsidRDefault="0027056D" w:rsidP="003518AB">
      <w:pPr>
        <w:jc w:val="both"/>
      </w:pPr>
      <w:r w:rsidRPr="0027056D">
        <w:t>Physical activity is essential for maintaining mental and physical health. Despite its benefits, older adults fall short of the recommended physical activity</w:t>
      </w:r>
      <w:r>
        <w:t xml:space="preserve"> levels</w:t>
      </w:r>
      <w:r w:rsidRPr="0027056D">
        <w:t xml:space="preserve">. Walking, in particular, offers significant advantages for older adults </w:t>
      </w:r>
      <w:r w:rsidR="00433AD2">
        <w:t xml:space="preserve">because of its low-impact nature and lower likelihood of serious injuries. Accordingly, </w:t>
      </w:r>
      <w:r w:rsidR="00E2528D">
        <w:t xml:space="preserve">in </w:t>
      </w:r>
      <w:r w:rsidR="00433AD2">
        <w:t>t</w:t>
      </w:r>
      <w:r w:rsidRPr="0027056D">
        <w:t>his study</w:t>
      </w:r>
      <w:r w:rsidR="00E2528D">
        <w:t>, we</w:t>
      </w:r>
      <w:r w:rsidRPr="0027056D">
        <w:t xml:space="preserve"> examine three key dimensions of walking behavior among adults aged 50 and older: frequency, duration, and social companionship (SC). </w:t>
      </w:r>
      <w:r w:rsidR="00E2528D">
        <w:t>In particular, u</w:t>
      </w:r>
      <w:r w:rsidRPr="0027056D">
        <w:t xml:space="preserve">sing data from </w:t>
      </w:r>
      <w:r w:rsidR="00E2528D">
        <w:t xml:space="preserve">a </w:t>
      </w:r>
      <w:r w:rsidRPr="0027056D">
        <w:t xml:space="preserve">2022 </w:t>
      </w:r>
      <w:r w:rsidR="00E2528D" w:rsidRPr="00587212">
        <w:rPr>
          <w:rFonts w:ascii="Times New Roman" w:hAnsi="Times New Roman"/>
          <w:bCs/>
        </w:rPr>
        <w:t xml:space="preserve">the </w:t>
      </w:r>
      <w:r w:rsidR="00E2528D" w:rsidRPr="0031004A">
        <w:rPr>
          <w:color w:val="000000"/>
          <w:szCs w:val="24"/>
        </w:rPr>
        <w:t xml:space="preserve">American Association of Retired Persons </w:t>
      </w:r>
      <w:r w:rsidR="00E2528D">
        <w:rPr>
          <w:color w:val="000000"/>
          <w:szCs w:val="24"/>
        </w:rPr>
        <w:t>(</w:t>
      </w:r>
      <w:r w:rsidR="00E2528D" w:rsidRPr="00587212">
        <w:rPr>
          <w:rFonts w:eastAsiaTheme="minorEastAsia"/>
          <w:lang w:eastAsia="ko-KR"/>
        </w:rPr>
        <w:t>AARP</w:t>
      </w:r>
      <w:r w:rsidR="00E2528D">
        <w:rPr>
          <w:rFonts w:eastAsiaTheme="minorEastAsia"/>
          <w:lang w:eastAsia="ko-KR"/>
        </w:rPr>
        <w:t>)</w:t>
      </w:r>
      <w:r w:rsidR="00E2528D">
        <w:t xml:space="preserve"> </w:t>
      </w:r>
      <w:r w:rsidRPr="0027056D">
        <w:t>Walking Survey,</w:t>
      </w:r>
      <w:r>
        <w:t xml:space="preserve"> </w:t>
      </w:r>
      <w:r w:rsidR="00E2528D">
        <w:t xml:space="preserve">and </w:t>
      </w:r>
      <w:r w:rsidRPr="0027056D">
        <w:t>employ</w:t>
      </w:r>
      <w:r w:rsidR="00E2528D">
        <w:t>ing</w:t>
      </w:r>
      <w:r w:rsidRPr="0027056D">
        <w:t xml:space="preserve"> a joint modeling approach</w:t>
      </w:r>
      <w:r w:rsidR="00E2528D">
        <w:t xml:space="preserve">, we </w:t>
      </w:r>
      <w:r w:rsidRPr="0027056D">
        <w:t xml:space="preserve">identify </w:t>
      </w:r>
      <w:r w:rsidR="00E2528D">
        <w:t xml:space="preserve">the </w:t>
      </w:r>
      <w:r w:rsidRPr="0027056D">
        <w:t xml:space="preserve">factors influencing each </w:t>
      </w:r>
      <w:r w:rsidR="00E2528D">
        <w:t xml:space="preserve">of the three dimensions </w:t>
      </w:r>
      <w:r w:rsidRPr="0027056D">
        <w:t xml:space="preserve">of walking behavior. </w:t>
      </w:r>
      <w:r w:rsidR="00E2528D">
        <w:rPr>
          <w:rFonts w:ascii="Times New Roman" w:hAnsi="Times New Roman"/>
        </w:rPr>
        <w:t xml:space="preserve">Our </w:t>
      </w:r>
      <w:r w:rsidR="00E2528D" w:rsidRPr="00F424E8">
        <w:rPr>
          <w:rFonts w:ascii="Times New Roman" w:eastAsiaTheme="minorEastAsia" w:hAnsi="Times New Roman"/>
          <w:lang w:eastAsia="ko-KR"/>
        </w:rPr>
        <w:t>findings suggest that older</w:t>
      </w:r>
      <w:r w:rsidR="00E2528D">
        <w:rPr>
          <w:rFonts w:ascii="Times New Roman" w:eastAsiaTheme="minorEastAsia" w:hAnsi="Times New Roman"/>
          <w:lang w:eastAsia="ko-KR"/>
        </w:rPr>
        <w:t xml:space="preserve"> unemployed </w:t>
      </w:r>
      <w:r w:rsidR="00E2528D" w:rsidRPr="00F424E8">
        <w:rPr>
          <w:rFonts w:ascii="Times New Roman" w:eastAsiaTheme="minorEastAsia" w:hAnsi="Times New Roman"/>
          <w:lang w:eastAsia="ko-KR"/>
        </w:rPr>
        <w:t>adults</w:t>
      </w:r>
      <w:r w:rsidR="00E2528D">
        <w:rPr>
          <w:rFonts w:ascii="Times New Roman" w:eastAsiaTheme="minorEastAsia" w:hAnsi="Times New Roman"/>
          <w:lang w:eastAsia="ko-KR"/>
        </w:rPr>
        <w:t xml:space="preserve"> </w:t>
      </w:r>
      <w:r w:rsidR="00E2528D" w:rsidRPr="00F424E8">
        <w:rPr>
          <w:rFonts w:ascii="Times New Roman" w:eastAsiaTheme="minorEastAsia" w:hAnsi="Times New Roman"/>
          <w:lang w:eastAsia="ko-KR"/>
        </w:rPr>
        <w:t>from low-income</w:t>
      </w:r>
      <w:r w:rsidR="00E2528D">
        <w:rPr>
          <w:rFonts w:ascii="Times New Roman" w:eastAsiaTheme="minorEastAsia" w:hAnsi="Times New Roman"/>
          <w:lang w:eastAsia="ko-KR"/>
        </w:rPr>
        <w:t>/minority</w:t>
      </w:r>
      <w:r w:rsidR="00E2528D" w:rsidRPr="00F424E8">
        <w:rPr>
          <w:rFonts w:ascii="Times New Roman" w:eastAsiaTheme="minorEastAsia" w:hAnsi="Times New Roman"/>
          <w:lang w:eastAsia="ko-KR"/>
        </w:rPr>
        <w:t xml:space="preserve"> households, </w:t>
      </w:r>
      <w:r w:rsidR="00E2528D">
        <w:rPr>
          <w:rFonts w:ascii="Times New Roman" w:eastAsiaTheme="minorEastAsia" w:hAnsi="Times New Roman"/>
          <w:lang w:eastAsia="ko-KR"/>
        </w:rPr>
        <w:t xml:space="preserve">women, </w:t>
      </w:r>
      <w:r w:rsidR="00E2528D" w:rsidRPr="00F424E8">
        <w:rPr>
          <w:rFonts w:ascii="Times New Roman" w:eastAsiaTheme="minorEastAsia" w:hAnsi="Times New Roman"/>
          <w:lang w:eastAsia="ko-KR"/>
        </w:rPr>
        <w:t xml:space="preserve">and </w:t>
      </w:r>
      <w:r w:rsidR="00E2528D">
        <w:rPr>
          <w:rFonts w:ascii="Times New Roman" w:eastAsiaTheme="minorEastAsia" w:hAnsi="Times New Roman"/>
          <w:lang w:eastAsia="ko-KR"/>
        </w:rPr>
        <w:t xml:space="preserve">individuals in </w:t>
      </w:r>
      <w:r w:rsidR="00E2528D" w:rsidRPr="00F424E8">
        <w:rPr>
          <w:rFonts w:ascii="Times New Roman" w:eastAsiaTheme="minorEastAsia" w:hAnsi="Times New Roman"/>
          <w:lang w:eastAsia="ko-KR"/>
        </w:rPr>
        <w:t xml:space="preserve">households with children tend to walk less frequently and for shorter durations. </w:t>
      </w:r>
      <w:r w:rsidR="00E2528D">
        <w:rPr>
          <w:rFonts w:ascii="Times New Roman" w:eastAsiaTheme="minorEastAsia" w:hAnsi="Times New Roman"/>
          <w:lang w:eastAsia="ko-KR"/>
        </w:rPr>
        <w:t xml:space="preserve">Having social company on walks has the highest positive effect on both walk frequency and duration, dominating over other sociodemographic factors. </w:t>
      </w:r>
      <w:r w:rsidR="00E2528D">
        <w:rPr>
          <w:rFonts w:eastAsiaTheme="minorEastAsia"/>
          <w:lang w:eastAsia="ko-KR"/>
        </w:rPr>
        <w:t xml:space="preserve">The results also point to </w:t>
      </w:r>
      <w:r w:rsidR="00E2528D">
        <w:t xml:space="preserve">specific population segments; specifically Black individuals, those employed, and single adults; walking less in groups, while those in households with children walking more in a group. </w:t>
      </w:r>
      <w:r w:rsidR="00E2528D" w:rsidRPr="00F424E8">
        <w:rPr>
          <w:rFonts w:ascii="Times New Roman" w:eastAsiaTheme="minorEastAsia" w:hAnsi="Times New Roman"/>
          <w:lang w:eastAsia="ko-KR"/>
        </w:rPr>
        <w:t>These results highlight the importance of considering social aspects in understanding walking behavior.</w:t>
      </w:r>
      <w:r w:rsidR="00E2528D" w:rsidRPr="001046F2">
        <w:rPr>
          <w:rFonts w:ascii="Times New Roman" w:hAnsi="Times New Roman"/>
        </w:rPr>
        <w:t xml:space="preserve"> </w:t>
      </w:r>
      <w:r w:rsidR="00E2528D">
        <w:rPr>
          <w:rFonts w:ascii="Times New Roman" w:hAnsi="Times New Roman"/>
        </w:rPr>
        <w:t xml:space="preserve">Policy implications of the findings are discussed. </w:t>
      </w:r>
    </w:p>
    <w:p w14:paraId="6F52BF2B" w14:textId="77777777" w:rsidR="0027056D" w:rsidRDefault="0027056D" w:rsidP="003518AB">
      <w:pPr>
        <w:jc w:val="both"/>
      </w:pPr>
    </w:p>
    <w:p w14:paraId="35C7D24E" w14:textId="76A1F9FE" w:rsidR="003A14A0" w:rsidRDefault="0027056D" w:rsidP="003518AB">
      <w:pPr>
        <w:jc w:val="both"/>
      </w:pPr>
      <w:r w:rsidRPr="00504CA9">
        <w:rPr>
          <w:b/>
          <w:bCs/>
        </w:rPr>
        <w:t>Keywords:</w:t>
      </w:r>
      <w:r>
        <w:t xml:space="preserve"> older adults, walking behavior, social companionship, multivariate modeling, health equity</w:t>
      </w:r>
      <w:r w:rsidR="003A14A0">
        <w:br w:type="page"/>
      </w:r>
    </w:p>
    <w:p w14:paraId="130A2BF0" w14:textId="77777777" w:rsidR="003964C4" w:rsidRDefault="003964C4" w:rsidP="003518AB">
      <w:pPr>
        <w:pStyle w:val="Heading1"/>
        <w:spacing w:line="240" w:lineRule="auto"/>
        <w:contextualSpacing w:val="0"/>
        <w:rPr>
          <w:caps/>
        </w:rPr>
        <w:sectPr w:rsidR="003964C4" w:rsidSect="0079717F">
          <w:pgSz w:w="12240" w:h="15840"/>
          <w:pgMar w:top="1440" w:right="1440" w:bottom="1440" w:left="1440" w:header="720" w:footer="720" w:gutter="0"/>
          <w:cols w:space="720"/>
          <w:docGrid w:linePitch="360"/>
        </w:sectPr>
      </w:pPr>
    </w:p>
    <w:p w14:paraId="0814C0ED" w14:textId="1A5D942C" w:rsidR="0042480E" w:rsidRPr="007F24B9" w:rsidRDefault="005B5CB6" w:rsidP="003518AB">
      <w:pPr>
        <w:pStyle w:val="Heading1"/>
        <w:spacing w:line="240" w:lineRule="auto"/>
        <w:contextualSpacing w:val="0"/>
        <w:rPr>
          <w:caps/>
        </w:rPr>
      </w:pPr>
      <w:r w:rsidRPr="007F24B9">
        <w:rPr>
          <w:caps/>
        </w:rPr>
        <w:lastRenderedPageBreak/>
        <w:t>Introduction</w:t>
      </w:r>
    </w:p>
    <w:p w14:paraId="5AA5B98F" w14:textId="46757769" w:rsidR="00534840" w:rsidRDefault="00B9185D" w:rsidP="003518AB">
      <w:pPr>
        <w:jc w:val="both"/>
        <w:rPr>
          <w:rFonts w:ascii="Times New Roman" w:eastAsiaTheme="minorEastAsia" w:hAnsi="Times New Roman"/>
          <w:bCs/>
          <w:lang w:eastAsia="ko-KR"/>
        </w:rPr>
      </w:pPr>
      <w:bookmarkStart w:id="0" w:name="_Hlk169956766"/>
      <w:r w:rsidRPr="00587212">
        <w:rPr>
          <w:rFonts w:ascii="Times New Roman" w:hAnsi="Times New Roman"/>
          <w:bCs/>
        </w:rPr>
        <w:t>Physical activity significantly impacts mental and physical health</w:t>
      </w:r>
      <w:r w:rsidR="00793B26" w:rsidRPr="00587212">
        <w:rPr>
          <w:rFonts w:ascii="Times New Roman" w:eastAsiaTheme="minorEastAsia" w:hAnsi="Times New Roman" w:hint="eastAsia"/>
          <w:bCs/>
          <w:lang w:eastAsia="ko-KR"/>
        </w:rPr>
        <w:t>. I</w:t>
      </w:r>
      <w:r w:rsidRPr="00587212">
        <w:rPr>
          <w:rFonts w:ascii="Times New Roman" w:hAnsi="Times New Roman"/>
          <w:bCs/>
        </w:rPr>
        <w:t>t reduce</w:t>
      </w:r>
      <w:r w:rsidR="00793B26" w:rsidRPr="00587212">
        <w:rPr>
          <w:rFonts w:ascii="Times New Roman" w:eastAsiaTheme="minorEastAsia" w:hAnsi="Times New Roman" w:hint="eastAsia"/>
          <w:bCs/>
          <w:lang w:eastAsia="ko-KR"/>
        </w:rPr>
        <w:t>s</w:t>
      </w:r>
      <w:r w:rsidRPr="00587212">
        <w:rPr>
          <w:rFonts w:ascii="Times New Roman" w:hAnsi="Times New Roman"/>
          <w:bCs/>
        </w:rPr>
        <w:t xml:space="preserve"> the risk of cardiovascular diseases and enhance</w:t>
      </w:r>
      <w:r w:rsidR="00793B26" w:rsidRPr="00587212">
        <w:rPr>
          <w:rFonts w:ascii="Times New Roman" w:eastAsiaTheme="minorEastAsia" w:hAnsi="Times New Roman" w:hint="eastAsia"/>
          <w:bCs/>
          <w:lang w:eastAsia="ko-KR"/>
        </w:rPr>
        <w:t xml:space="preserve">s </w:t>
      </w:r>
      <w:r w:rsidRPr="00587212">
        <w:rPr>
          <w:rFonts w:ascii="Times New Roman" w:hAnsi="Times New Roman"/>
          <w:bCs/>
        </w:rPr>
        <w:t xml:space="preserve">physical </w:t>
      </w:r>
      <w:r w:rsidR="00793B26" w:rsidRPr="00587212">
        <w:rPr>
          <w:rFonts w:ascii="Times New Roman" w:eastAsiaTheme="minorEastAsia" w:hAnsi="Times New Roman" w:hint="eastAsia"/>
          <w:bCs/>
          <w:lang w:eastAsia="ko-KR"/>
        </w:rPr>
        <w:t>dexterity</w:t>
      </w:r>
      <w:r w:rsidRPr="00587212">
        <w:rPr>
          <w:rFonts w:ascii="Times New Roman" w:hAnsi="Times New Roman"/>
          <w:bCs/>
        </w:rPr>
        <w:t xml:space="preserve"> </w:t>
      </w:r>
      <w:bookmarkStart w:id="1" w:name="_Hlk169959645"/>
      <w:r w:rsidRPr="00587212">
        <w:rPr>
          <w:rFonts w:ascii="Times New Roman" w:hAnsi="Times New Roman"/>
          <w:bCs/>
        </w:rPr>
        <w:fldChar w:fldCharType="begin"/>
      </w:r>
      <w:r w:rsidR="003123FA" w:rsidRPr="00587212">
        <w:rPr>
          <w:rFonts w:ascii="Times New Roman" w:hAnsi="Times New Roman"/>
          <w:bCs/>
        </w:rPr>
        <w:instrText xml:space="preserve"> ADDIN ZOTERO_ITEM CSL_CITATION {"citationID":"56aaesjr","properties":{"formattedCitation":"(LaCroix et al., 1996; Oja et al., 2018)","plainCitation":"(LaCroix et al., 1996; Oja et al., 2018)","dontUpdate":true,"noteIndex":0},"citationItems":[{"id":917,"uris":["http://zotero.org/users/10132210/items/QXFDPCTC"],"itemData":{"id":917,"type":"article-journal","abstract":"OBJECTIVES\n              : The purpose of this study was to determine whether walking is associated with a reduced risk of cardiovascular disease hospitalization and death in community‐dwelling older men and women.\n            \n            \n              DESIGN\n              : A prospective study, with follow‐up time of 4 to 5 years (average 4.2 years).\n            \n            \n              SETTING\n              : A western Washington health maintenance organization.\n            \n            \n              PARTICIPANTS\n              : Men and women aged 65 years and older from a random sample of HMO enrollees invited by mail to participate in a health promotion intervention trial (36% accepted the invitation and completed questionnaires). This report is based on 1645 older adults without severe disability and without history of heart disease. Vital status ascertainment was complete (100%), and only 2.6% did not complete the follow‐up.\n            \n            \n              MEASUREMENTS\n              : Reported frequency and duration of walking for exercise, work, errands, pleasure, and hiking in the 2 weeks before baseline were used to classify hours of walking per week. The two main outcomes were: (1) cardiovascular disease hospitalizations with a discharge diagnosis of coronary (ICD‐9‐CM 410–414) or other cardiovascular diseases (ICD‐9‐CM 390–409, 415–448) documented by computerized hospitalization records and (2) death. Numerous potential confounding factors were considered, including age, sex, treated high blood pressure, current estrogen use and chronic disease score (ascertained by computerized medical and pharmacy records), and ethnicity, education, income, physical function, self‐rated health status, smoking, alcohol intake, and body mass index (ascertained by self‐report on the mailed questionnaire).\n            \n            \n              RESULTS\n              : Walking more than 4 hours/week was associated significantly with a reduced risk of cardiovascular disease hospitalization in both sexes combined compared with walking less than 1 hour/week (age and sex‐adjusted relative risk = 0.69; 95% confidence interval, 0.52–0.90). This association was not altered by adjustment for baseline cardiovascular risk factors and indicators of general health status. The association was present in all age groups, among those with and without physical limitations, and also among those who did and did not also participate in more vigorous physical activities. Walking more than 4 hours/week was also associated with a reduced risk of death (age and sex‐adjusted relative risk = 0.73; 95% confidence interval, 0.48–1.10), however, this association was substantially diminished by adjustment for cardiovascular risk factors and measures of general health status.\n            \n            \n              CONCLUSIONS\n              : Walking more than 4 hours/week may reduce the risk of hospitalization for cardiovascular disease events. The association of walking more than 4 hours/week with reduced risk of death may be mediated by effects of walking on other risk factors. These findings provide much stronger evidence than previously available for advising older men and women to embark on or maintain a sustained program of walking to prevent cardiovascular disease events.\n              J Am Geriatr Soc 44:113–120, 1996\n              .","container-title":"Journal of the American Geriatrics Society","DOI":"10.1111/j.1532-5415.1996.tb02425.x","ISSN":"0002-8614, 1532-5415","issue":"2","journalAbbreviation":"J American Geriatrics Society","language":"en","page":"113-120","source":"DOI.org (Crossref)","title":"Does Walking Decrease the Risk of Cardiovascular Disease Hospitalizations and Death in Older Adults?","volume":"44","author":[{"family":"LaCroix","given":"Andrea Z."},{"family":"Leveille","given":"Suzanne G."},{"family":"Hecht","given":"Julia A."},{"family":"Grothaus","given":"Louis C."},{"family":"Wagner","given":"Edward H."}],"issued":{"date-parts":[["1996",2]]}}},{"id":945,"uris":["http://zotero.org/users/10132210/items/AU8EYMXQ"],"itemData":{"id":945,"type":"article-journal","abstract":"Objective  Walking interventions in healthy populations show clinically relevant improvements for many cardiovascular disease (CVD) risk factors. We aimed to assess the changes in CVD risk factors and the dose–response relationship between frequency, intensity, duration and volume of walking and cardiovascular risk factors based on randomised controlled trials (RCTs). Design  A systematic review with meta-analysis and meta-regression.","container-title":"British Journal of Sports Medicine","DOI":"10.1136/bjsports-2017-098558","ISSN":"0306-3674, 1473-0480","issue":"12","journalAbbreviation":"Br J Sports Med","language":"en","page":"769-775","source":"DOI.org (Crossref)","title":"Effects of frequency, intensity, duration and volume of walking interventions on CVD risk factors: a systematic review and meta-regression analysis of randomised controlled trials among inactive healthy adults","title-short":"Effects of frequency, intensity, duration and volume of walking interventions on CVD risk factors","volume":"52","author":[{"family":"Oja","given":"Pekka"},{"family":"Kelly","given":"Paul"},{"family":"Murtagh","given":"Elaine M"},{"family":"Murphy","given":"Marie H"},{"family":"Foster","given":"Charlie"},{"family":"Titze","given":"Sylvia"}],"issued":{"date-parts":[["2018",6]]}}}],"schema":"https://github.com/citation-style-language/schema/raw/master/csl-citation.json"} </w:instrText>
      </w:r>
      <w:r w:rsidRPr="00587212">
        <w:rPr>
          <w:rFonts w:ascii="Times New Roman" w:hAnsi="Times New Roman"/>
          <w:bCs/>
        </w:rPr>
        <w:fldChar w:fldCharType="separate"/>
      </w:r>
      <w:r w:rsidRPr="00587212">
        <w:rPr>
          <w:rFonts w:ascii="Times New Roman" w:hAnsi="Times New Roman"/>
          <w:bCs/>
        </w:rPr>
        <w:t>(</w:t>
      </w:r>
      <w:r w:rsidR="00E63022" w:rsidRPr="00587212">
        <w:rPr>
          <w:rFonts w:ascii="Times New Roman" w:hAnsi="Times New Roman"/>
          <w:bCs/>
        </w:rPr>
        <w:t xml:space="preserve">see </w:t>
      </w:r>
      <w:r w:rsidRPr="00587212">
        <w:rPr>
          <w:rFonts w:ascii="Times New Roman" w:hAnsi="Times New Roman"/>
          <w:bCs/>
        </w:rPr>
        <w:t>LaCroix et al., 1996</w:t>
      </w:r>
      <w:r w:rsidR="00912EAD" w:rsidRPr="00587212">
        <w:rPr>
          <w:rFonts w:ascii="Times New Roman" w:hAnsi="Times New Roman"/>
          <w:bCs/>
        </w:rPr>
        <w:t>, and</w:t>
      </w:r>
      <w:r w:rsidRPr="00587212">
        <w:rPr>
          <w:rFonts w:ascii="Times New Roman" w:hAnsi="Times New Roman"/>
          <w:bCs/>
        </w:rPr>
        <w:t xml:space="preserve"> Oja et al., 2018)</w:t>
      </w:r>
      <w:r w:rsidRPr="00587212">
        <w:rPr>
          <w:rFonts w:ascii="Times New Roman" w:hAnsi="Times New Roman"/>
          <w:bCs/>
        </w:rPr>
        <w:fldChar w:fldCharType="end"/>
      </w:r>
      <w:r w:rsidRPr="00587212">
        <w:rPr>
          <w:rFonts w:ascii="Times New Roman" w:hAnsi="Times New Roman"/>
          <w:bCs/>
        </w:rPr>
        <w:t xml:space="preserve">, </w:t>
      </w:r>
      <w:bookmarkEnd w:id="1"/>
      <w:r w:rsidR="00793B26" w:rsidRPr="00587212">
        <w:rPr>
          <w:rFonts w:ascii="Times New Roman" w:eastAsiaTheme="minorEastAsia" w:hAnsi="Times New Roman" w:hint="eastAsia"/>
          <w:bCs/>
          <w:lang w:eastAsia="ko-KR"/>
        </w:rPr>
        <w:t xml:space="preserve">while also having the benefit of improving </w:t>
      </w:r>
      <w:r w:rsidRPr="00587212">
        <w:rPr>
          <w:rFonts w:ascii="Times New Roman" w:hAnsi="Times New Roman"/>
          <w:bCs/>
        </w:rPr>
        <w:t>mental health</w:t>
      </w:r>
      <w:r w:rsidR="007502C8" w:rsidRPr="00587212">
        <w:rPr>
          <w:rFonts w:ascii="Times New Roman" w:eastAsiaTheme="minorEastAsia" w:hAnsi="Times New Roman" w:hint="eastAsia"/>
          <w:bCs/>
          <w:lang w:eastAsia="ko-KR"/>
        </w:rPr>
        <w:t xml:space="preserve"> through a reduction in </w:t>
      </w:r>
      <w:r w:rsidRPr="00587212">
        <w:rPr>
          <w:rFonts w:ascii="Times New Roman" w:hAnsi="Times New Roman"/>
          <w:bCs/>
        </w:rPr>
        <w:t xml:space="preserve">depressive symptoms and </w:t>
      </w:r>
      <w:r w:rsidR="007502C8" w:rsidRPr="00587212">
        <w:rPr>
          <w:rFonts w:ascii="Times New Roman" w:eastAsiaTheme="minorEastAsia" w:hAnsi="Times New Roman" w:hint="eastAsia"/>
          <w:bCs/>
          <w:lang w:eastAsia="ko-KR"/>
        </w:rPr>
        <w:t>enhanced</w:t>
      </w:r>
      <w:r w:rsidRPr="00587212">
        <w:rPr>
          <w:rFonts w:ascii="Times New Roman" w:hAnsi="Times New Roman"/>
          <w:bCs/>
        </w:rPr>
        <w:t xml:space="preserve"> life satisfaction </w:t>
      </w:r>
      <w:bookmarkStart w:id="2" w:name="_Hlk169959638"/>
      <w:r w:rsidRPr="00587212">
        <w:rPr>
          <w:rFonts w:ascii="Times New Roman" w:hAnsi="Times New Roman"/>
          <w:bCs/>
        </w:rPr>
        <w:fldChar w:fldCharType="begin"/>
      </w:r>
      <w:r w:rsidR="003123FA" w:rsidRPr="00587212">
        <w:rPr>
          <w:rFonts w:ascii="Times New Roman" w:hAnsi="Times New Roman"/>
          <w:bCs/>
        </w:rPr>
        <w:instrText xml:space="preserve"> ADDIN ZOTERO_ITEM CSL_CITATION {"citationID":"StiDvzlB","properties":{"formattedCitation":"(Franke et al., 2021; Julien et al., 2013)","plainCitation":"(Franke et al., 2021; Julien et al., 2013)","dontUpdate":true,"noteIndex":0},"citationItems":[{"id":940,"uris":["http://zotero.org/users/10132210/items/LT9WH2VU"],"itemData":{"id":940,"type":"article-journal","abstract":"Conclusion: Health promoting interventions that focus on PA and social connectedness through group-based activities can effectively reduce social isolation and loneliness of older adults. Given the ‘epidemic of loneliness’ that plagues many countries currently, these kinds of interventions are timely and important. Research that further delineates mechanisms (e.g., sharing experiences vs. lectures), that modify the effect of an intervention on social connectedness outcomes for older adults engaged in community-based PA programs would be a welcome addition to the literature.","container-title":"BMC Public Health","DOI":"10.1186/s12889-021-10363-1","ISSN":"1471-2458","issue":"1","journalAbbreviation":"BMC Public Health","language":"en","page":"312","source":"DOI.org (Crossref)","title":"“It makes me feel not so alone”: features of the Choose to Move physical activity intervention that reduce loneliness in older adults","title-short":"“It makes me feel not so alone”","volume":"21","author":[{"family":"Franke","given":"Thea"},{"family":"Sims-Gould","given":"Joanie"},{"family":"Nettlefold","given":"Lindsay"},{"family":"Ottoni","given":"Callista"},{"family":"McKay","given":"Heather A."}],"issued":{"date-parts":[["2021",12]]}}},{"id":933,"uris":["http://zotero.org/users/10132210/items/Y672ZG2A"],"itemData":{"id":933,"type":"article-journal","abstract":"Background\n              Cross‐sectional studies show that walking is associated with depression among older adults, but longitudinal associations have rarely been examined. The aim of this study was to investigate longitudinal associations between walking frequency and depressive symptoms in older adults to determine which variable is the stronger prospective predictor of the other.\n            \n            \n              Design\n              Longitudinal; four repeated measures over 5 years.\n            \n            \n              Setting\n              Population‐based sample of urban‐dwelling older adults living in the Montreal metropolitan area.\n            \n            \n              Participants\n              Participants from the VoisiNuAge study aged 68 to 84 (N = 498).\n            \n            \n              Measurements\n              Main exposures: depressive symptoms (Geriatric Depression Scale) and number of walking days in previous week (Physical Activity Scale for the Elderly). Covariates: age, education, and number of chronic illnesses. Cross‐lagged panel analyses were performed in the entire sample and in sex‐stratified subsamples.\n            \n            \n              Results\n              Depressive symptoms predicted walking frequency at subsequent time points (and more precisely, higher depressive symptoms were related to fewer walking days), but walking frequency did not predict depressive symptoms at subsequent time points. Stratified analyses revealed that prospective associations were statistically significant in women but not men.\n            \n            \n              Conclusion\n              The longitudinal association between walking frequency and depressive symptoms is one in which depressive symptoms predict reduced walking frequency later. Higher depressive symptoms are more likely a cause of reduced walking because of time precedence than vice versa. Future research on longitudinal relationships between meeting physical activity recommendations and depression are warranted.","container-title":"Journal of the American Geriatrics Society","DOI":"10.1111/jgs.12546","ISSN":"0002-8614, 1532-5415","issue":"12","journalAbbreviation":"J American Geriatrics Society","language":"en","page":"2072-2078","source":"DOI.org (Crossref)","title":"Longitudinal Associations Between Walking Frequency and Depressive Symptoms in Older Adults: Results from the VoisiNuAge Study","title-short":"Longitudinal Associations Between Walking Frequency and Depressive Symptoms in Older Adults","volume":"61","author":[{"family":"Julien","given":"Dominic"},{"family":"Gauvin","given":"Lise"},{"family":"Richard","given":"Lucie"},{"family":"Kestens","given":"Yan"},{"family":"Payette","given":"Hélène"}],"issued":{"date-parts":[["2013",12]]}}}],"schema":"https://github.com/citation-style-language/schema/raw/master/csl-citation.json"} </w:instrText>
      </w:r>
      <w:r w:rsidRPr="00587212">
        <w:rPr>
          <w:rFonts w:ascii="Times New Roman" w:hAnsi="Times New Roman"/>
          <w:bCs/>
        </w:rPr>
        <w:fldChar w:fldCharType="separate"/>
      </w:r>
      <w:r w:rsidRPr="00587212">
        <w:rPr>
          <w:rFonts w:ascii="Times New Roman" w:hAnsi="Times New Roman"/>
          <w:bCs/>
        </w:rPr>
        <w:t>(</w:t>
      </w:r>
      <w:r w:rsidR="00E63022" w:rsidRPr="00587212">
        <w:rPr>
          <w:rFonts w:ascii="Times New Roman" w:hAnsi="Times New Roman"/>
          <w:bCs/>
        </w:rPr>
        <w:t xml:space="preserve">see </w:t>
      </w:r>
      <w:r w:rsidRPr="00587212">
        <w:rPr>
          <w:rFonts w:ascii="Times New Roman" w:hAnsi="Times New Roman"/>
          <w:bCs/>
        </w:rPr>
        <w:t>Julien et al., 2013</w:t>
      </w:r>
      <w:r w:rsidR="00435F79" w:rsidRPr="00587212">
        <w:rPr>
          <w:rFonts w:ascii="Times New Roman" w:hAnsi="Times New Roman"/>
          <w:bCs/>
        </w:rPr>
        <w:t>, and Franke et al., 2021</w:t>
      </w:r>
      <w:r w:rsidRPr="00587212">
        <w:rPr>
          <w:rFonts w:ascii="Times New Roman" w:hAnsi="Times New Roman"/>
          <w:bCs/>
        </w:rPr>
        <w:t>)</w:t>
      </w:r>
      <w:r w:rsidRPr="00587212">
        <w:rPr>
          <w:rFonts w:ascii="Times New Roman" w:hAnsi="Times New Roman"/>
          <w:bCs/>
        </w:rPr>
        <w:fldChar w:fldCharType="end"/>
      </w:r>
      <w:r w:rsidRPr="00587212">
        <w:rPr>
          <w:rFonts w:ascii="Times New Roman" w:hAnsi="Times New Roman"/>
          <w:bCs/>
        </w:rPr>
        <w:t xml:space="preserve">. </w:t>
      </w:r>
      <w:bookmarkEnd w:id="2"/>
      <w:r w:rsidR="007502C8" w:rsidRPr="00587212">
        <w:rPr>
          <w:rFonts w:ascii="Times New Roman" w:eastAsiaTheme="minorEastAsia" w:hAnsi="Times New Roman" w:hint="eastAsia"/>
          <w:bCs/>
          <w:lang w:eastAsia="ko-KR"/>
        </w:rPr>
        <w:t>Recognizing such physical and mental health benefits of physical activity</w:t>
      </w:r>
      <w:r w:rsidRPr="00587212">
        <w:rPr>
          <w:rFonts w:ascii="Times New Roman" w:hAnsi="Times New Roman"/>
          <w:bCs/>
        </w:rPr>
        <w:t xml:space="preserve">, the U.S. Department of Health </w:t>
      </w:r>
      <w:r w:rsidR="00912EAD" w:rsidRPr="00587212">
        <w:rPr>
          <w:rFonts w:ascii="Times New Roman" w:hAnsi="Times New Roman"/>
          <w:bCs/>
        </w:rPr>
        <w:t xml:space="preserve">and Human Services (USHHS) </w:t>
      </w:r>
      <w:r w:rsidR="007502C8" w:rsidRPr="00587212">
        <w:rPr>
          <w:rFonts w:ascii="Times New Roman" w:eastAsiaTheme="minorEastAsia" w:hAnsi="Times New Roman" w:hint="eastAsia"/>
          <w:bCs/>
          <w:lang w:eastAsia="ko-KR"/>
        </w:rPr>
        <w:t xml:space="preserve">recommends that </w:t>
      </w:r>
      <w:r w:rsidRPr="00587212">
        <w:rPr>
          <w:rFonts w:ascii="Times New Roman" w:hAnsi="Times New Roman"/>
          <w:bCs/>
        </w:rPr>
        <w:t xml:space="preserve">adults engage in at least 150 </w:t>
      </w:r>
      <w:r w:rsidR="00C22471" w:rsidRPr="00587212">
        <w:rPr>
          <w:rFonts w:ascii="Times New Roman" w:eastAsiaTheme="minorEastAsia" w:hAnsi="Times New Roman" w:hint="eastAsia"/>
          <w:bCs/>
          <w:lang w:eastAsia="ko-KR"/>
        </w:rPr>
        <w:t xml:space="preserve">weekly </w:t>
      </w:r>
      <w:r w:rsidRPr="00587212">
        <w:rPr>
          <w:rFonts w:ascii="Times New Roman" w:hAnsi="Times New Roman"/>
          <w:bCs/>
        </w:rPr>
        <w:t xml:space="preserve">minutes of moderate-intensity aerobic physical activity </w:t>
      </w:r>
      <w:bookmarkStart w:id="3" w:name="_Hlk169959670"/>
      <w:r w:rsidRPr="00587212">
        <w:rPr>
          <w:rFonts w:ascii="Times New Roman" w:hAnsi="Times New Roman"/>
          <w:bCs/>
        </w:rPr>
        <w:fldChar w:fldCharType="begin"/>
      </w:r>
      <w:r w:rsidR="004D684B" w:rsidRPr="00587212">
        <w:rPr>
          <w:rFonts w:ascii="Times New Roman" w:hAnsi="Times New Roman"/>
          <w:bCs/>
        </w:rPr>
        <w:instrText xml:space="preserve"> ADDIN ZOTERO_ITEM CSL_CITATION {"citationID":"1i6SYVMQ","properties":{"formattedCitation":"(U.S. Department of Health and Human Services, 2018)","plainCitation":"(U.S. Department of Health and Human Services, 2018)","dontUpdate":true,"noteIndex":0},"citationItems":[{"id":962,"uris":["http://zotero.org/users/10132210/items/KSYNK8I8"],"itemData":{"id":962,"type":"article-journal","language":"en","source":"Zotero","title":"Physical Activity Guidelines for Americans, 2nd edition","author":[{"family":"U.S. Department of Health and Human Services","given":""}],"issued":{"date-parts":[["2018"]]}}}],"schema":"https://github.com/citation-style-language/schema/raw/master/csl-citation.json"} </w:instrText>
      </w:r>
      <w:r w:rsidRPr="00587212">
        <w:rPr>
          <w:rFonts w:ascii="Times New Roman" w:hAnsi="Times New Roman"/>
          <w:bCs/>
        </w:rPr>
        <w:fldChar w:fldCharType="separate"/>
      </w:r>
      <w:r w:rsidR="00912EAD" w:rsidRPr="00587212">
        <w:rPr>
          <w:rFonts w:ascii="Times New Roman" w:eastAsiaTheme="minorEastAsia" w:hAnsi="Times New Roman"/>
          <w:bCs/>
          <w:lang w:eastAsia="ko-KR"/>
        </w:rPr>
        <w:t>(</w:t>
      </w:r>
      <w:r w:rsidR="00C22471" w:rsidRPr="00587212">
        <w:rPr>
          <w:rFonts w:ascii="Times New Roman" w:eastAsiaTheme="minorEastAsia" w:hAnsi="Times New Roman"/>
          <w:bCs/>
          <w:lang w:eastAsia="ko-KR"/>
        </w:rPr>
        <w:t>USHHS</w:t>
      </w:r>
      <w:r w:rsidRPr="00587212">
        <w:rPr>
          <w:rFonts w:ascii="Times New Roman" w:hAnsi="Times New Roman"/>
          <w:bCs/>
        </w:rPr>
        <w:t>, 2018)</w:t>
      </w:r>
      <w:r w:rsidRPr="00587212">
        <w:rPr>
          <w:rFonts w:ascii="Times New Roman" w:hAnsi="Times New Roman"/>
          <w:bCs/>
        </w:rPr>
        <w:fldChar w:fldCharType="end"/>
      </w:r>
      <w:r w:rsidRPr="00587212">
        <w:rPr>
          <w:rFonts w:ascii="Times New Roman" w:hAnsi="Times New Roman"/>
          <w:bCs/>
        </w:rPr>
        <w:t xml:space="preserve">. </w:t>
      </w:r>
      <w:bookmarkEnd w:id="3"/>
      <w:r w:rsidRPr="00587212">
        <w:rPr>
          <w:rFonts w:ascii="Times New Roman" w:hAnsi="Times New Roman"/>
          <w:bCs/>
        </w:rPr>
        <w:t xml:space="preserve">However, </w:t>
      </w:r>
      <w:r w:rsidR="00D85AE4" w:rsidRPr="00587212">
        <w:rPr>
          <w:rFonts w:ascii="Times New Roman" w:hAnsi="Times New Roman"/>
          <w:bCs/>
        </w:rPr>
        <w:t xml:space="preserve">data shows that </w:t>
      </w:r>
      <w:r w:rsidR="00C22471" w:rsidRPr="00587212">
        <w:rPr>
          <w:rFonts w:ascii="Times New Roman" w:eastAsiaTheme="minorEastAsia" w:hAnsi="Times New Roman" w:hint="eastAsia"/>
          <w:bCs/>
          <w:lang w:eastAsia="ko-KR"/>
        </w:rPr>
        <w:t xml:space="preserve">a large fraction of adults, particularly older adults, do not meet this recommendation. Specifically, </w:t>
      </w:r>
      <w:r w:rsidRPr="00587212">
        <w:rPr>
          <w:rFonts w:ascii="Times New Roman" w:hAnsi="Times New Roman"/>
          <w:bCs/>
        </w:rPr>
        <w:t xml:space="preserve">only </w:t>
      </w:r>
      <w:r w:rsidR="00042FB2" w:rsidRPr="00587212">
        <w:rPr>
          <w:rFonts w:ascii="Times New Roman" w:hAnsi="Times New Roman"/>
          <w:bCs/>
        </w:rPr>
        <w:t>13.9</w:t>
      </w:r>
      <w:r w:rsidRPr="00587212">
        <w:rPr>
          <w:rFonts w:ascii="Times New Roman" w:hAnsi="Times New Roman"/>
          <w:bCs/>
        </w:rPr>
        <w:t>% of individuals aged 65 and older me</w:t>
      </w:r>
      <w:r w:rsidR="00D10B8C" w:rsidRPr="00587212">
        <w:rPr>
          <w:rFonts w:ascii="Times New Roman" w:eastAsiaTheme="minorEastAsia" w:hAnsi="Times New Roman" w:hint="eastAsia"/>
          <w:bCs/>
          <w:lang w:eastAsia="ko-KR"/>
        </w:rPr>
        <w:t>e</w:t>
      </w:r>
      <w:r w:rsidRPr="00587212">
        <w:rPr>
          <w:rFonts w:ascii="Times New Roman" w:hAnsi="Times New Roman"/>
          <w:bCs/>
        </w:rPr>
        <w:t>t this standard, compared to 4</w:t>
      </w:r>
      <w:r w:rsidR="00042FB2" w:rsidRPr="00587212">
        <w:rPr>
          <w:rFonts w:ascii="Times New Roman" w:hAnsi="Times New Roman"/>
          <w:bCs/>
        </w:rPr>
        <w:t>9</w:t>
      </w:r>
      <w:r w:rsidRPr="00587212">
        <w:rPr>
          <w:rFonts w:ascii="Times New Roman" w:hAnsi="Times New Roman"/>
          <w:bCs/>
        </w:rPr>
        <w:t>.</w:t>
      </w:r>
      <w:r w:rsidR="00042FB2" w:rsidRPr="00587212">
        <w:rPr>
          <w:rFonts w:ascii="Times New Roman" w:hAnsi="Times New Roman"/>
          <w:bCs/>
        </w:rPr>
        <w:t>7</w:t>
      </w:r>
      <w:r w:rsidRPr="00587212">
        <w:rPr>
          <w:rFonts w:ascii="Times New Roman" w:hAnsi="Times New Roman"/>
          <w:bCs/>
        </w:rPr>
        <w:t xml:space="preserve">% </w:t>
      </w:r>
      <w:r w:rsidR="00D10B8C" w:rsidRPr="00587212">
        <w:rPr>
          <w:rFonts w:ascii="Times New Roman" w:eastAsiaTheme="minorEastAsia" w:hAnsi="Times New Roman" w:hint="eastAsia"/>
          <w:bCs/>
          <w:lang w:eastAsia="ko-KR"/>
        </w:rPr>
        <w:t xml:space="preserve">of all </w:t>
      </w:r>
      <w:r w:rsidRPr="00587212">
        <w:rPr>
          <w:rFonts w:ascii="Times New Roman" w:hAnsi="Times New Roman"/>
          <w:bCs/>
        </w:rPr>
        <w:t xml:space="preserve">adults </w:t>
      </w:r>
      <w:r w:rsidR="00042FB2" w:rsidRPr="00587212">
        <w:rPr>
          <w:rFonts w:ascii="Times New Roman" w:hAnsi="Times New Roman"/>
          <w:bCs/>
        </w:rPr>
        <w:t>in the 18 to 64 age group</w:t>
      </w:r>
      <w:r w:rsidRPr="00587212">
        <w:rPr>
          <w:rFonts w:ascii="Times New Roman" w:hAnsi="Times New Roman"/>
          <w:bCs/>
        </w:rPr>
        <w:t xml:space="preserve"> </w:t>
      </w:r>
      <w:bookmarkStart w:id="4" w:name="_Hlk169959694"/>
      <w:r w:rsidRPr="00587212">
        <w:rPr>
          <w:rFonts w:ascii="Times New Roman" w:hAnsi="Times New Roman"/>
          <w:bCs/>
        </w:rPr>
        <w:fldChar w:fldCharType="begin"/>
      </w:r>
      <w:r w:rsidR="002F0EF8" w:rsidRPr="00587212">
        <w:rPr>
          <w:rFonts w:ascii="Times New Roman" w:hAnsi="Times New Roman"/>
          <w:bCs/>
        </w:rPr>
        <w:instrText xml:space="preserve"> ADDIN ZOTERO_ITEM CSL_CITATION {"citationID":"CQOSgoUm","properties":{"formattedCitation":"(National Center for Health Statistics, 2019)","plainCitation":"(National Center for Health Statistics, 2019)","noteIndex":0},"citationItems":[{"id":942,"uris":["http://zotero.org/users/10132210/items/FTLCCUU6"],"itemData":{"id":942,"type":"dataset","event-place":"Hyattsville, MD","publisher-place":"Hyattsville, MD","title":"Health, America, 2019: Table 25","URL":"https://www.cdc.gov/nchs/hus/contents2019.htm","author":[{"family":"National Center for Health Statistics","given":""}],"issued":{"date-parts":[["2019"]]}}}],"schema":"https://github.com/citation-style-language/schema/raw/master/csl-citation.json"} </w:instrText>
      </w:r>
      <w:r w:rsidRPr="00587212">
        <w:rPr>
          <w:rFonts w:ascii="Times New Roman" w:hAnsi="Times New Roman"/>
          <w:bCs/>
        </w:rPr>
        <w:fldChar w:fldCharType="separate"/>
      </w:r>
      <w:r w:rsidRPr="00587212">
        <w:rPr>
          <w:rFonts w:ascii="Times New Roman" w:hAnsi="Times New Roman"/>
          <w:bCs/>
        </w:rPr>
        <w:t>(National Center for Health Statistics, 2019)</w:t>
      </w:r>
      <w:r w:rsidRPr="00587212">
        <w:rPr>
          <w:rFonts w:ascii="Times New Roman" w:hAnsi="Times New Roman"/>
          <w:bCs/>
        </w:rPr>
        <w:fldChar w:fldCharType="end"/>
      </w:r>
      <w:bookmarkEnd w:id="4"/>
      <w:r w:rsidRPr="00587212">
        <w:rPr>
          <w:rFonts w:ascii="Times New Roman" w:hAnsi="Times New Roman"/>
          <w:bCs/>
        </w:rPr>
        <w:t xml:space="preserve">. </w:t>
      </w:r>
      <w:r w:rsidR="00526A71" w:rsidRPr="00587212">
        <w:rPr>
          <w:rFonts w:ascii="Times New Roman" w:eastAsiaTheme="minorEastAsia" w:hAnsi="Times New Roman" w:hint="eastAsia"/>
          <w:bCs/>
          <w:lang w:eastAsia="ko-KR"/>
        </w:rPr>
        <w:t>One reason that older adults lag behind in physical activity is the increased physical frailty with age</w:t>
      </w:r>
      <w:r w:rsidR="00FE493C" w:rsidRPr="00587212">
        <w:rPr>
          <w:rFonts w:ascii="Times New Roman" w:eastAsiaTheme="minorEastAsia" w:hAnsi="Times New Roman"/>
          <w:bCs/>
          <w:lang w:eastAsia="ko-KR"/>
        </w:rPr>
        <w:t xml:space="preserve">, </w:t>
      </w:r>
      <w:r w:rsidR="00FE493C" w:rsidRPr="00587212">
        <w:rPr>
          <w:rFonts w:ascii="Times New Roman" w:eastAsiaTheme="minorEastAsia" w:hAnsi="Times New Roman" w:hint="eastAsia"/>
          <w:bCs/>
          <w:lang w:eastAsia="ko-KR"/>
        </w:rPr>
        <w:t>mak</w:t>
      </w:r>
      <w:r w:rsidR="00FE493C" w:rsidRPr="00587212">
        <w:rPr>
          <w:rFonts w:ascii="Times New Roman" w:eastAsiaTheme="minorEastAsia" w:hAnsi="Times New Roman"/>
          <w:bCs/>
          <w:lang w:eastAsia="ko-KR"/>
        </w:rPr>
        <w:t xml:space="preserve">ing </w:t>
      </w:r>
      <w:r w:rsidR="00FE493C" w:rsidRPr="00587212">
        <w:rPr>
          <w:rFonts w:ascii="Times New Roman" w:eastAsiaTheme="minorEastAsia" w:hAnsi="Times New Roman" w:hint="eastAsia"/>
          <w:bCs/>
          <w:lang w:eastAsia="ko-KR"/>
        </w:rPr>
        <w:t>it more difficult for older adults to partake in relatively vigorous physical activities such as running or playing soccer</w:t>
      </w:r>
      <w:r w:rsidR="00FE493C" w:rsidRPr="00587212">
        <w:rPr>
          <w:rFonts w:ascii="Times New Roman" w:eastAsiaTheme="minorEastAsia" w:hAnsi="Times New Roman"/>
          <w:bCs/>
          <w:lang w:eastAsia="ko-KR"/>
        </w:rPr>
        <w:t>. Besides, older adults tend to be more susceptible to injuries and bone fractures when engaging in strenuous physical activities</w:t>
      </w:r>
      <w:bookmarkStart w:id="5" w:name="_Hlk169959713"/>
      <w:r w:rsidR="00FE493C" w:rsidRPr="00587212">
        <w:rPr>
          <w:rFonts w:ascii="Times New Roman" w:eastAsiaTheme="minorEastAsia" w:hAnsi="Times New Roman"/>
          <w:bCs/>
          <w:lang w:eastAsia="ko-KR"/>
        </w:rPr>
        <w:t xml:space="preserve"> </w:t>
      </w:r>
      <w:r w:rsidR="004D684B" w:rsidRPr="00587212">
        <w:rPr>
          <w:rFonts w:ascii="Times New Roman" w:eastAsiaTheme="minorEastAsia" w:hAnsi="Times New Roman"/>
          <w:bCs/>
          <w:lang w:eastAsia="ko-KR"/>
        </w:rPr>
        <w:fldChar w:fldCharType="begin"/>
      </w:r>
      <w:r w:rsidR="003123FA" w:rsidRPr="00587212">
        <w:rPr>
          <w:rFonts w:ascii="Times New Roman" w:eastAsiaTheme="minorEastAsia" w:hAnsi="Times New Roman"/>
          <w:bCs/>
          <w:lang w:eastAsia="ko-KR"/>
        </w:rPr>
        <w:instrText xml:space="preserve"> ADDIN ZOTERO_ITEM CSL_CITATION {"citationID":"NGQ55XSo","properties":{"formattedCitation":"(Spiteri et al., 2019)","plainCitation":"(Spiteri et al., 2019)","dontUpdate":true,"noteIndex":0},"citationItems":[{"id":1141,"uris":["http://zotero.org/users/10132210/items/QNCM384V"],"itemData":{"id":1141,"type":"article-journal","abstract":"Identifying the difference in the barriers and motivators between middle-aged and older adults could contribute toward the development of age-speciﬁc health promotion interventions. The aim of this review was to synthesize the literature on the barriers and motivators for physical activity in middle-aged (50–64 years) and older (65–70 years) adults. This review examined qualitative and quantitative studies using the theoretical domain framework as the guiding theory. The search generated 9,400 results from seven databases, and 55 articles meeting the inclusion criteria were included. The results indicate that the barriers are comparable across the two age groups, with environmental factors and resources being the most commonly identiﬁed barriers. In older adults, social inﬂuences, reinforcement, and assistance in managing change were the most identiﬁed motivators. In middleaged adults, goal-setting, the belief that an activity will be beneﬁcial, and social inﬂuences were identiﬁed as the most important motivators. These ﬁndings can be used by professionals to encourage engagement with and adherence to physical activity.","container-title":"Journal of Aging and Physical Activity","DOI":"10.1123/japa.2018-0343","ISSN":"1063-8652, 1543-267X","issue":"6","language":"en","page":"929-944","source":"DOI.org (Crossref)","title":"Barriers and Motivators of Physical Activity Participation in Middle-Aged and Older Adults—A Systematic Review","volume":"27","author":[{"family":"Spiteri","given":"Karl"},{"family":"Broom","given":"David"},{"family":"Hassan Bekhet","given":"Amira"},{"family":"Xerri De Caro","given":"John"},{"family":"Laventure","given":"Bob"},{"family":"Grafton","given":"Kate"}],"issued":{"date-parts":[["2019",12,1]]}}}],"schema":"https://github.com/citation-style-language/schema/raw/master/csl-citation.json"} </w:instrText>
      </w:r>
      <w:r w:rsidR="004D684B" w:rsidRPr="00587212">
        <w:rPr>
          <w:rFonts w:ascii="Times New Roman" w:eastAsiaTheme="minorEastAsia" w:hAnsi="Times New Roman"/>
          <w:bCs/>
          <w:lang w:eastAsia="ko-KR"/>
        </w:rPr>
        <w:fldChar w:fldCharType="separate"/>
      </w:r>
      <w:r w:rsidR="004D684B" w:rsidRPr="00587212">
        <w:rPr>
          <w:rFonts w:ascii="Times New Roman" w:hAnsi="Times New Roman"/>
        </w:rPr>
        <w:t>(</w:t>
      </w:r>
      <w:r w:rsidR="004C1527" w:rsidRPr="00587212">
        <w:rPr>
          <w:rFonts w:ascii="Times New Roman" w:hAnsi="Times New Roman"/>
        </w:rPr>
        <w:t xml:space="preserve">see </w:t>
      </w:r>
      <w:r w:rsidR="004D684B" w:rsidRPr="00587212">
        <w:rPr>
          <w:rFonts w:ascii="Times New Roman" w:hAnsi="Times New Roman"/>
        </w:rPr>
        <w:t>Spiteri et al., 2019)</w:t>
      </w:r>
      <w:r w:rsidR="004D684B" w:rsidRPr="00587212">
        <w:rPr>
          <w:rFonts w:ascii="Times New Roman" w:eastAsiaTheme="minorEastAsia" w:hAnsi="Times New Roman"/>
          <w:bCs/>
          <w:lang w:eastAsia="ko-KR"/>
        </w:rPr>
        <w:fldChar w:fldCharType="end"/>
      </w:r>
      <w:bookmarkEnd w:id="5"/>
      <w:r w:rsidR="007F2901" w:rsidRPr="00587212">
        <w:rPr>
          <w:rFonts w:ascii="Times New Roman" w:eastAsiaTheme="minorEastAsia" w:hAnsi="Times New Roman" w:hint="eastAsia"/>
          <w:bCs/>
          <w:lang w:eastAsia="ko-KR"/>
        </w:rPr>
        <w:t>.</w:t>
      </w:r>
      <w:r w:rsidR="00526A71" w:rsidRPr="00587212">
        <w:rPr>
          <w:rFonts w:ascii="Times New Roman" w:eastAsiaTheme="minorEastAsia" w:hAnsi="Times New Roman" w:hint="eastAsia"/>
          <w:bCs/>
          <w:lang w:eastAsia="ko-KR"/>
        </w:rPr>
        <w:t xml:space="preserve"> </w:t>
      </w:r>
      <w:r w:rsidR="005B1B7B" w:rsidRPr="00587212">
        <w:rPr>
          <w:rFonts w:ascii="Times New Roman" w:eastAsiaTheme="minorEastAsia" w:hAnsi="Times New Roman" w:hint="eastAsia"/>
          <w:bCs/>
          <w:lang w:eastAsia="ko-KR"/>
        </w:rPr>
        <w:t>Thus, t</w:t>
      </w:r>
      <w:r w:rsidR="00D85AE4" w:rsidRPr="00587212">
        <w:rPr>
          <w:rFonts w:ascii="Times New Roman" w:hAnsi="Times New Roman"/>
          <w:bCs/>
        </w:rPr>
        <w:t>he Center</w:t>
      </w:r>
      <w:r w:rsidR="00E63022" w:rsidRPr="00587212">
        <w:rPr>
          <w:rFonts w:ascii="Times New Roman" w:hAnsi="Times New Roman"/>
          <w:bCs/>
        </w:rPr>
        <w:t>s</w:t>
      </w:r>
      <w:r w:rsidR="00D85AE4" w:rsidRPr="00587212">
        <w:rPr>
          <w:rFonts w:ascii="Times New Roman" w:hAnsi="Times New Roman"/>
          <w:bCs/>
        </w:rPr>
        <w:t xml:space="preserve"> for Disease Control and Prevention (CDC) recommends brisk walking as the primary moderate-intensity activity for older adults</w:t>
      </w:r>
      <w:r w:rsidR="003B406F" w:rsidRPr="00587212">
        <w:rPr>
          <w:rFonts w:ascii="Times New Roman" w:eastAsiaTheme="minorEastAsia" w:hAnsi="Times New Roman" w:hint="eastAsia"/>
          <w:bCs/>
          <w:lang w:eastAsia="ko-KR"/>
        </w:rPr>
        <w:t xml:space="preserve">, </w:t>
      </w:r>
      <w:r w:rsidR="004C1527" w:rsidRPr="00587212">
        <w:rPr>
          <w:rFonts w:ascii="Times New Roman" w:eastAsiaTheme="minorEastAsia" w:hAnsi="Times New Roman"/>
          <w:bCs/>
          <w:lang w:eastAsia="ko-KR"/>
        </w:rPr>
        <w:t>which</w:t>
      </w:r>
      <w:r w:rsidR="004C1527" w:rsidRPr="00587212">
        <w:rPr>
          <w:rFonts w:ascii="Times New Roman" w:eastAsiaTheme="minorEastAsia" w:hAnsi="Times New Roman" w:hint="eastAsia"/>
          <w:bCs/>
          <w:lang w:eastAsia="ko-KR"/>
        </w:rPr>
        <w:t xml:space="preserve"> </w:t>
      </w:r>
      <w:r w:rsidR="003B406F" w:rsidRPr="00587212">
        <w:rPr>
          <w:rFonts w:ascii="Times New Roman" w:eastAsiaTheme="minorEastAsia" w:hAnsi="Times New Roman" w:hint="eastAsia"/>
          <w:bCs/>
          <w:lang w:eastAsia="ko-KR"/>
        </w:rPr>
        <w:t xml:space="preserve">forms the basis for social programs </w:t>
      </w:r>
      <w:r w:rsidR="00F301B1" w:rsidRPr="00587212">
        <w:rPr>
          <w:rFonts w:ascii="Times New Roman" w:eastAsiaTheme="minorEastAsia" w:hAnsi="Times New Roman" w:hint="eastAsia"/>
          <w:bCs/>
          <w:lang w:eastAsia="ko-KR"/>
        </w:rPr>
        <w:t xml:space="preserve">promoting walking </w:t>
      </w:r>
      <w:r w:rsidR="003B406F" w:rsidRPr="00587212">
        <w:rPr>
          <w:rFonts w:ascii="Times New Roman" w:eastAsiaTheme="minorEastAsia" w:hAnsi="Times New Roman" w:hint="eastAsia"/>
          <w:bCs/>
          <w:lang w:eastAsia="ko-KR"/>
        </w:rPr>
        <w:t xml:space="preserve">in the U.S. and beyond (for example, </w:t>
      </w:r>
      <w:r w:rsidR="00873780" w:rsidRPr="00587212">
        <w:rPr>
          <w:rFonts w:ascii="Times New Roman" w:eastAsiaTheme="minorEastAsia" w:hAnsi="Times New Roman"/>
          <w:bCs/>
          <w:lang w:eastAsia="ko-KR"/>
        </w:rPr>
        <w:t xml:space="preserve">the </w:t>
      </w:r>
      <w:r w:rsidR="004F4A9A" w:rsidRPr="00587212">
        <w:rPr>
          <w:rFonts w:ascii="Times New Roman" w:eastAsiaTheme="minorEastAsia" w:hAnsi="Times New Roman"/>
          <w:bCs/>
          <w:lang w:eastAsia="ko-KR"/>
        </w:rPr>
        <w:t>“</w:t>
      </w:r>
      <w:r w:rsidR="004F4A9A" w:rsidRPr="00587212">
        <w:rPr>
          <w:rFonts w:ascii="Times New Roman" w:eastAsiaTheme="minorEastAsia" w:hAnsi="Times New Roman" w:hint="eastAsia"/>
          <w:bCs/>
          <w:lang w:eastAsia="ko-KR"/>
        </w:rPr>
        <w:t>Walk2Connect</w:t>
      </w:r>
      <w:r w:rsidR="004F4A9A" w:rsidRPr="00587212">
        <w:rPr>
          <w:rFonts w:ascii="Times New Roman" w:eastAsiaTheme="minorEastAsia" w:hAnsi="Times New Roman"/>
          <w:bCs/>
          <w:lang w:eastAsia="ko-KR"/>
        </w:rPr>
        <w:t>”</w:t>
      </w:r>
      <w:r w:rsidR="004F4A9A" w:rsidRPr="00587212">
        <w:rPr>
          <w:rFonts w:ascii="Times New Roman" w:eastAsiaTheme="minorEastAsia" w:hAnsi="Times New Roman" w:hint="eastAsia"/>
          <w:bCs/>
          <w:lang w:eastAsia="ko-KR"/>
        </w:rPr>
        <w:t xml:space="preserve"> in the U.S, the </w:t>
      </w:r>
      <w:r w:rsidR="00F179A7" w:rsidRPr="00587212">
        <w:rPr>
          <w:rFonts w:ascii="Times New Roman" w:hAnsi="Times New Roman"/>
          <w:bCs/>
        </w:rPr>
        <w:t xml:space="preserve"> </w:t>
      </w:r>
      <w:r w:rsidR="004F4A9A" w:rsidRPr="00587212">
        <w:rPr>
          <w:rFonts w:ascii="Times New Roman" w:eastAsiaTheme="minorEastAsia" w:hAnsi="Times New Roman"/>
          <w:bCs/>
          <w:lang w:eastAsia="ko-KR"/>
        </w:rPr>
        <w:t>“</w:t>
      </w:r>
      <w:r w:rsidR="00F179A7" w:rsidRPr="00587212">
        <w:rPr>
          <w:rFonts w:ascii="Times New Roman" w:hAnsi="Times New Roman"/>
          <w:bCs/>
        </w:rPr>
        <w:t>Choose to Move</w:t>
      </w:r>
      <w:r w:rsidR="004F4A9A" w:rsidRPr="00587212">
        <w:rPr>
          <w:rFonts w:ascii="Times New Roman" w:eastAsiaTheme="minorEastAsia" w:hAnsi="Times New Roman"/>
          <w:bCs/>
          <w:lang w:eastAsia="ko-KR"/>
        </w:rPr>
        <w:t>”</w:t>
      </w:r>
      <w:r w:rsidR="00F179A7" w:rsidRPr="00587212">
        <w:rPr>
          <w:rFonts w:ascii="Times New Roman" w:hAnsi="Times New Roman"/>
          <w:bCs/>
        </w:rPr>
        <w:t xml:space="preserve"> in Canada</w:t>
      </w:r>
      <w:r w:rsidR="00E63022" w:rsidRPr="00587212">
        <w:rPr>
          <w:rFonts w:ascii="Times New Roman" w:hAnsi="Times New Roman"/>
          <w:bCs/>
        </w:rPr>
        <w:t>,</w:t>
      </w:r>
      <w:r w:rsidR="00F179A7" w:rsidRPr="00587212">
        <w:rPr>
          <w:rFonts w:ascii="Times New Roman" w:hAnsi="Times New Roman"/>
          <w:bCs/>
        </w:rPr>
        <w:t xml:space="preserve"> and </w:t>
      </w:r>
      <w:r w:rsidR="00873780" w:rsidRPr="00587212">
        <w:rPr>
          <w:rFonts w:ascii="Times New Roman" w:hAnsi="Times New Roman"/>
          <w:bCs/>
        </w:rPr>
        <w:t xml:space="preserve">the </w:t>
      </w:r>
      <w:r w:rsidR="00217B8E" w:rsidRPr="00587212">
        <w:rPr>
          <w:rFonts w:ascii="Times New Roman" w:eastAsiaTheme="minorEastAsia" w:hAnsi="Times New Roman"/>
          <w:bCs/>
          <w:lang w:eastAsia="ko-KR"/>
        </w:rPr>
        <w:t>“</w:t>
      </w:r>
      <w:r w:rsidR="00F179A7" w:rsidRPr="00587212">
        <w:rPr>
          <w:rFonts w:ascii="Times New Roman" w:hAnsi="Times New Roman"/>
          <w:bCs/>
        </w:rPr>
        <w:t>Walking for Health</w:t>
      </w:r>
      <w:r w:rsidR="00217B8E" w:rsidRPr="00587212">
        <w:rPr>
          <w:rFonts w:ascii="Times New Roman" w:eastAsiaTheme="minorEastAsia" w:hAnsi="Times New Roman"/>
          <w:bCs/>
          <w:lang w:eastAsia="ko-KR"/>
        </w:rPr>
        <w:t>”</w:t>
      </w:r>
      <w:r w:rsidR="00F179A7" w:rsidRPr="00587212">
        <w:rPr>
          <w:rFonts w:ascii="Times New Roman" w:hAnsi="Times New Roman"/>
          <w:bCs/>
        </w:rPr>
        <w:t xml:space="preserve"> in England</w:t>
      </w:r>
      <w:r w:rsidR="00217B8E" w:rsidRPr="00587212">
        <w:rPr>
          <w:rFonts w:ascii="Times New Roman" w:eastAsiaTheme="minorEastAsia" w:hAnsi="Times New Roman" w:hint="eastAsia"/>
          <w:bCs/>
          <w:lang w:eastAsia="ko-KR"/>
        </w:rPr>
        <w:t xml:space="preserve">; </w:t>
      </w:r>
      <w:r w:rsidR="00217B8E" w:rsidRPr="00587212">
        <w:rPr>
          <w:rFonts w:ascii="Times New Roman" w:eastAsiaTheme="minorEastAsia" w:hAnsi="Times New Roman"/>
          <w:bCs/>
          <w:lang w:eastAsia="ko-KR"/>
        </w:rPr>
        <w:t>see</w:t>
      </w:r>
      <w:r w:rsidR="00A9351C">
        <w:rPr>
          <w:rFonts w:ascii="Times New Roman" w:eastAsiaTheme="minorEastAsia" w:hAnsi="Times New Roman" w:hint="eastAsia"/>
          <w:bCs/>
          <w:lang w:eastAsia="ko-KR"/>
        </w:rPr>
        <w:t xml:space="preserve"> </w:t>
      </w:r>
      <w:r w:rsidR="00A9351C">
        <w:rPr>
          <w:rFonts w:ascii="Times New Roman" w:eastAsiaTheme="minorEastAsia" w:hAnsi="Times New Roman"/>
          <w:bCs/>
          <w:lang w:eastAsia="ko-KR"/>
        </w:rPr>
        <w:fldChar w:fldCharType="begin"/>
      </w:r>
      <w:r w:rsidR="00A9351C">
        <w:rPr>
          <w:rFonts w:ascii="Times New Roman" w:eastAsiaTheme="minorEastAsia" w:hAnsi="Times New Roman"/>
          <w:bCs/>
          <w:lang w:eastAsia="ko-KR"/>
        </w:rPr>
        <w:instrText xml:space="preserve"> ADDIN ZOTERO_ITEM CSL_CITATION {"citationID":"f8dIH73s","properties":{"formattedCitation":"(Hanson &amp; Jones, 2015)","plainCitation":"(Hanson &amp; Jones, 2015)","noteIndex":0},"citationItems":[{"id":984,"uris":["http://zotero.org/users/10132210/items/NXNPPNDY"],"itemData":{"id":984,"type":"article-journal","abstract":"Introduction: If an intervention is not well spatially targeted, appropriate levels of uptake, efficacy, long-term compliance and improved health outcomes are unlikely to be attained. Effective health interventions should seek to achieve not only absolute improvements in health but also to reduce inequity. There is often a disparity whereby preventative interventions are more likely to be successful amongst the more affluent, a process which has been coined the ‘inverse prevention law’. Physical inactivity is known to be socially patterned and disproportionately prevalent in disadvantaged communities yet there is a lack of clear evidence on which interventions have the potential to influence inequity. Walking groups have been found to have multiple health benefits and increase physical activity. In England the major facilitator is a not for profit organisation which has 70,000 regular walkers and is lay led with 10,000 volunteers. The aim of this study was to evaluate the extent to which walking groups operated in those places with the greatest health need and whether consequently the scheme has the potential to influence health inequity.\nMethod: The work used a spatial approach whereby geographical variations in walking group provision within the 326 local authorities in England (mean population 163,410) were linked to health and socio-economic measures of population need.\nResults: Generally, greater need was not associated with higher provision of the walking group intervention. Although the magnitude of differences was small, provision of the intervention tended to be poorest in those local authorities with the greatest health need, as measured by our indicators.\nConclusions: Without targeting those areas with greater health and socio-economic need, there is a concern that walking groups may not be set up in areas that need them most. There is therefore a potential that this intervention could, albeit in a small way, widen inequity between local authorities. However small-scale and well-intentioned, interventions need to be evaluated for their potential impact on inequity.","container-title":"International Journal for Equity in Health","DOI":"10.1186/s12939-015-0256-x","ISSN":"1475-9276","issue":"1","journalAbbreviation":"Int J Equity Health","language":"en","page":"106","source":"DOI.org (Crossref)","title":"A spatial equity analysis of a public health intervention: a case study of an outdoor walking group provider within local authorities in England","title-short":"A spatial equity analysis of a public health intervention","volume":"14","author":[{"family":"Hanson","given":"Sarah"},{"family":"Jones","given":"Andy"}],"issued":{"date-parts":[["2015",12]]}}}],"schema":"https://github.com/citation-style-language/schema/raw/master/csl-citation.json"} </w:instrText>
      </w:r>
      <w:r w:rsidR="00A9351C">
        <w:rPr>
          <w:rFonts w:ascii="Times New Roman" w:eastAsiaTheme="minorEastAsia" w:hAnsi="Times New Roman"/>
          <w:bCs/>
          <w:lang w:eastAsia="ko-KR"/>
        </w:rPr>
        <w:fldChar w:fldCharType="separate"/>
      </w:r>
      <w:r w:rsidR="00A9351C" w:rsidRPr="00A9351C">
        <w:rPr>
          <w:rFonts w:ascii="Times New Roman" w:hAnsi="Times New Roman"/>
        </w:rPr>
        <w:t xml:space="preserve">Hanson </w:t>
      </w:r>
      <w:r w:rsidR="00282819">
        <w:rPr>
          <w:rFonts w:ascii="Times New Roman" w:eastAsiaTheme="minorEastAsia" w:hAnsi="Times New Roman" w:hint="eastAsia"/>
          <w:lang w:eastAsia="ko-KR"/>
        </w:rPr>
        <w:t>and</w:t>
      </w:r>
      <w:r w:rsidR="00A9351C" w:rsidRPr="00A9351C">
        <w:rPr>
          <w:rFonts w:ascii="Times New Roman" w:hAnsi="Times New Roman"/>
        </w:rPr>
        <w:t xml:space="preserve"> Jones, 2015</w:t>
      </w:r>
      <w:r w:rsidR="00A9351C">
        <w:rPr>
          <w:rFonts w:ascii="Times New Roman" w:eastAsiaTheme="minorEastAsia" w:hAnsi="Times New Roman"/>
          <w:bCs/>
          <w:lang w:eastAsia="ko-KR"/>
        </w:rPr>
        <w:fldChar w:fldCharType="end"/>
      </w:r>
      <w:r w:rsidR="00217B8E" w:rsidRPr="00587212">
        <w:rPr>
          <w:rFonts w:ascii="Times New Roman" w:eastAsiaTheme="minorEastAsia" w:hAnsi="Times New Roman"/>
          <w:bCs/>
          <w:lang w:eastAsia="ko-KR"/>
        </w:rPr>
        <w:t xml:space="preserve"> </w:t>
      </w:r>
      <w:bookmarkStart w:id="6" w:name="_Hlk169959727"/>
      <w:r w:rsidR="00435F79" w:rsidRPr="00587212">
        <w:rPr>
          <w:rFonts w:ascii="Times New Roman" w:hAnsi="Times New Roman"/>
        </w:rPr>
        <w:t>and</w:t>
      </w:r>
      <w:r w:rsidR="00435F79" w:rsidRPr="00587212">
        <w:rPr>
          <w:rFonts w:ascii="Times New Roman" w:hAnsi="Times New Roman"/>
          <w:bCs/>
        </w:rPr>
        <w:t xml:space="preserve"> </w:t>
      </w:r>
      <w:r w:rsidR="00F179A7" w:rsidRPr="00587212">
        <w:rPr>
          <w:rFonts w:ascii="Times New Roman" w:hAnsi="Times New Roman"/>
          <w:bCs/>
        </w:rPr>
        <w:fldChar w:fldCharType="begin"/>
      </w:r>
      <w:r w:rsidR="00CB0AF7" w:rsidRPr="00587212">
        <w:rPr>
          <w:rFonts w:ascii="Times New Roman" w:hAnsi="Times New Roman"/>
          <w:bCs/>
        </w:rPr>
        <w:instrText xml:space="preserve"> ADDIN ZOTERO_ITEM CSL_CITATION {"citationID":"a2LjYkWc","properties":{"formattedCitation":"(Franke et al., 2021; Hanson &amp; Jones, 2015a)","plainCitation":"(Franke et al., 2021; Hanson &amp; Jones, 2015a)","dontUpdate":true,"noteIndex":0},"citationItems":[{"id":940,"uris":["http://zotero.org/users/10132210/items/LT9WH2VU"],"itemData":{"id":940,"type":"article-journal","abstract":"Conclusion: Health promoting interventions that focus on PA and social connectedness through group-based activities can effectively reduce social isolation and loneliness of older adults. Given the ‘epidemic of loneliness’ that plagues many countries currently, these kinds of interventions are timely and important. Research that further delineates mechanisms (e.g., sharing experiences vs. lectures), that modify the effect of an intervention on social connectedness outcomes for older adults engaged in community-based PA programs would be a welcome addition to the literature.","container-title":"BMC Public Health","DOI":"10.1186/s12889-021-10363-1","ISSN":"1471-2458","issue":"1","journalAbbreviation":"BMC Public Health","language":"en","page":"312","source":"DOI.org (Crossref)","title":"“It makes me feel not so alone”: features of the Choose to Move physical activity intervention that reduce loneliness in older adults","title-short":"“It makes me feel not so alone”","volume":"21","author":[{"family":"Franke","given":"Thea"},{"family":"Sims-Gould","given":"Joanie"},{"family":"Nettlefold","given":"Lindsay"},{"family":"Ottoni","given":"Callista"},{"family":"McKay","given":"Heather A."}],"issued":{"date-parts":[["2021",12]]}}},{"id":984,"uris":["http://zotero.org/users/10132210/items/NXNPPNDY"],"itemData":{"id":984,"type":"article-journal","abstract":"Introduction: If an intervention is not well spatially targeted, appropriate levels of uptake, efficacy, long-term compliance and improved health outcomes are unlikely to be attained. Effective health interventions should seek to achieve not only absolute improvements in health but also to reduce inequity. There is often a disparity whereby preventative interventions are more likely to be successful amongst the more affluent, a process which has been coined the ‘inverse prevention law’. Physical inactivity is known to be socially patterned and disproportionately prevalent in disadvantaged communities yet there is a lack of clear evidence on which interventions have the potential to influence inequity. Walking groups have been found to have multiple health benefits and increase physical activity. In England the major facilitator is a not for profit organisation which has 70,000 regular walkers and is lay led with 10,000 volunteers. The aim of this study was to evaluate the extent to which walking groups operated in those places with the greatest health need and whether consequently the scheme has the potential to influence health inequity.\nMethod: The work used a spatial approach whereby geographical variations in walking group provision within the 326 local authorities in England (mean population 163,410) were linked to health and socio-economic measures of population need.\nResults: Generally, greater need was not associated with higher provision of the walking group intervention. Although the magnitude of differences was small, provision of the intervention tended to be poorest in those local authorities with the greatest health need, as measured by our indicators.\nConclusions: Without targeting those areas with greater health and socio-economic need, there is a concern that walking groups may not be set up in areas that need them most. There is therefore a potential that this intervention could, albeit in a small way, widen inequity between local authorities. However small-scale and well-intentioned, interventions need to be evaluated for their potential impact on inequity.","container-title":"International Journal for Equity in Health","DOI":"10.1186/s12939-015-0256-x","ISSN":"1475-9276","issue":"1","journalAbbreviation":"Int J Equity Health","language":"en","page":"106","source":"DOI.org (Crossref)","title":"A spatial equity analysis of a public health intervention: a case study of an outdoor walking group provider within local authorities in England","title-short":"A spatial equity analysis of a public health intervention","volume":"14","author":[{"family":"Hanson","given":"Sarah"},{"family":"Jones","given":"Andy"}],"issued":{"date-parts":[["2015",12]]}}}],"schema":"https://github.com/citation-style-language/schema/raw/master/csl-citation.json"} </w:instrText>
      </w:r>
      <w:r w:rsidR="00F179A7" w:rsidRPr="00587212">
        <w:rPr>
          <w:rFonts w:ascii="Times New Roman" w:hAnsi="Times New Roman"/>
          <w:bCs/>
        </w:rPr>
        <w:fldChar w:fldCharType="separate"/>
      </w:r>
      <w:r w:rsidR="003123FA" w:rsidRPr="00587212">
        <w:rPr>
          <w:rFonts w:ascii="Times New Roman" w:hAnsi="Times New Roman"/>
        </w:rPr>
        <w:t>Franke et al., 2021)</w:t>
      </w:r>
      <w:r w:rsidR="00F179A7" w:rsidRPr="00587212">
        <w:rPr>
          <w:rFonts w:ascii="Times New Roman" w:hAnsi="Times New Roman"/>
          <w:bCs/>
        </w:rPr>
        <w:fldChar w:fldCharType="end"/>
      </w:r>
      <w:r w:rsidR="00F179A7" w:rsidRPr="00587212">
        <w:rPr>
          <w:rFonts w:ascii="Times New Roman" w:hAnsi="Times New Roman"/>
          <w:bCs/>
        </w:rPr>
        <w:t>.</w:t>
      </w:r>
      <w:r w:rsidR="00F179A7">
        <w:rPr>
          <w:rFonts w:ascii="Times New Roman" w:hAnsi="Times New Roman"/>
          <w:bCs/>
        </w:rPr>
        <w:t xml:space="preserve"> </w:t>
      </w:r>
      <w:bookmarkEnd w:id="6"/>
    </w:p>
    <w:p w14:paraId="5B08AB25" w14:textId="527B7198" w:rsidR="00CA096E" w:rsidRPr="00942DB7" w:rsidRDefault="002E48AA" w:rsidP="003518AB">
      <w:pPr>
        <w:ind w:firstLine="720"/>
        <w:jc w:val="both"/>
        <w:rPr>
          <w:rFonts w:ascii="Times New Roman" w:eastAsiaTheme="minorEastAsia" w:hAnsi="Times New Roman"/>
          <w:bCs/>
          <w:lang w:eastAsia="ko-KR"/>
        </w:rPr>
      </w:pPr>
      <w:r>
        <w:rPr>
          <w:rFonts w:ascii="Times New Roman" w:eastAsiaTheme="minorEastAsia" w:hAnsi="Times New Roman" w:hint="eastAsia"/>
          <w:bCs/>
          <w:lang w:eastAsia="ko-KR"/>
        </w:rPr>
        <w:t>The 150</w:t>
      </w:r>
      <w:r w:rsidR="004C1527">
        <w:rPr>
          <w:rFonts w:ascii="Times New Roman" w:eastAsiaTheme="minorEastAsia" w:hAnsi="Times New Roman"/>
          <w:bCs/>
          <w:lang w:eastAsia="ko-KR"/>
        </w:rPr>
        <w:t>-</w:t>
      </w:r>
      <w:r>
        <w:rPr>
          <w:rFonts w:ascii="Times New Roman" w:eastAsiaTheme="minorEastAsia" w:hAnsi="Times New Roman" w:hint="eastAsia"/>
          <w:bCs/>
          <w:lang w:eastAsia="ko-KR"/>
        </w:rPr>
        <w:t xml:space="preserve">minute total walk duration recommendation of physical activity for older adults (assuming that walking is indeed the predominant form of physical activity for this age group) </w:t>
      </w:r>
      <w:r w:rsidR="005E698A">
        <w:rPr>
          <w:rFonts w:ascii="Times New Roman" w:eastAsiaTheme="minorEastAsia" w:hAnsi="Times New Roman"/>
          <w:bCs/>
          <w:lang w:eastAsia="ko-KR"/>
        </w:rPr>
        <w:t>may</w:t>
      </w:r>
      <w:r>
        <w:rPr>
          <w:rFonts w:ascii="Times New Roman" w:eastAsiaTheme="minorEastAsia" w:hAnsi="Times New Roman" w:hint="eastAsia"/>
          <w:bCs/>
          <w:lang w:eastAsia="ko-KR"/>
        </w:rPr>
        <w:t xml:space="preserve"> be achieved through any number of combinations of frequency of weekly walking episodes and duration per walking episode. While the USHHS recommendation does not specify any optimal combination of the two</w:t>
      </w:r>
      <w:r w:rsidR="005E698A">
        <w:rPr>
          <w:rFonts w:ascii="Times New Roman" w:eastAsiaTheme="minorEastAsia" w:hAnsi="Times New Roman" w:hint="eastAsia"/>
          <w:bCs/>
          <w:lang w:eastAsia="ko-KR"/>
        </w:rPr>
        <w:t xml:space="preserve">, there is evidence that a good balance and mix of the two is helpful. </w:t>
      </w:r>
      <w:r w:rsidR="00BA0437" w:rsidRPr="00BA0437">
        <w:rPr>
          <w:rFonts w:ascii="Times New Roman" w:eastAsiaTheme="minorEastAsia" w:hAnsi="Times New Roman"/>
          <w:bCs/>
          <w:lang w:eastAsia="ko-KR"/>
        </w:rPr>
        <w:t xml:space="preserve">For example, </w:t>
      </w:r>
      <w:r w:rsidR="00BA0437">
        <w:rPr>
          <w:rFonts w:ascii="Times New Roman" w:eastAsiaTheme="minorEastAsia" w:hAnsi="Times New Roman"/>
          <w:bCs/>
          <w:lang w:eastAsia="ko-KR"/>
        </w:rPr>
        <w:t>w</w:t>
      </w:r>
      <w:r w:rsidR="00BA0437" w:rsidRPr="00BA0437">
        <w:rPr>
          <w:rFonts w:ascii="Times New Roman" w:eastAsiaTheme="minorEastAsia" w:hAnsi="Times New Roman"/>
          <w:bCs/>
          <w:lang w:eastAsia="ko-KR"/>
        </w:rPr>
        <w:t xml:space="preserve">hile walking for </w:t>
      </w:r>
      <w:r w:rsidR="004C1527">
        <w:rPr>
          <w:rFonts w:ascii="Times New Roman" w:eastAsiaTheme="minorEastAsia" w:hAnsi="Times New Roman"/>
          <w:bCs/>
          <w:lang w:eastAsia="ko-KR"/>
        </w:rPr>
        <w:t>1</w:t>
      </w:r>
      <w:r w:rsidR="00BA0437" w:rsidRPr="00BA0437">
        <w:rPr>
          <w:rFonts w:ascii="Times New Roman" w:eastAsiaTheme="minorEastAsia" w:hAnsi="Times New Roman"/>
          <w:bCs/>
          <w:lang w:eastAsia="ko-KR"/>
        </w:rPr>
        <w:t>5</w:t>
      </w:r>
      <w:r w:rsidR="00FE493C">
        <w:rPr>
          <w:rFonts w:ascii="Times New Roman" w:eastAsiaTheme="minorEastAsia" w:hAnsi="Times New Roman"/>
          <w:bCs/>
          <w:lang w:eastAsia="ko-KR"/>
        </w:rPr>
        <w:t xml:space="preserve"> </w:t>
      </w:r>
      <w:r w:rsidR="00BA0437" w:rsidRPr="00BA0437">
        <w:rPr>
          <w:rFonts w:ascii="Times New Roman" w:eastAsiaTheme="minorEastAsia" w:hAnsi="Times New Roman"/>
          <w:bCs/>
          <w:lang w:eastAsia="ko-KR"/>
        </w:rPr>
        <w:t>minute</w:t>
      </w:r>
      <w:r w:rsidR="00FE493C">
        <w:rPr>
          <w:rFonts w:ascii="Times New Roman" w:eastAsiaTheme="minorEastAsia" w:hAnsi="Times New Roman"/>
          <w:bCs/>
          <w:lang w:eastAsia="ko-KR"/>
        </w:rPr>
        <w:t>s</w:t>
      </w:r>
      <w:r w:rsidR="00BA0437" w:rsidRPr="00BA0437">
        <w:rPr>
          <w:rFonts w:ascii="Times New Roman" w:eastAsiaTheme="minorEastAsia" w:hAnsi="Times New Roman"/>
          <w:bCs/>
          <w:lang w:eastAsia="ko-KR"/>
        </w:rPr>
        <w:t xml:space="preserve"> </w:t>
      </w:r>
      <w:r w:rsidR="00FE493C">
        <w:rPr>
          <w:rFonts w:ascii="Times New Roman" w:eastAsiaTheme="minorEastAsia" w:hAnsi="Times New Roman"/>
          <w:bCs/>
          <w:lang w:eastAsia="ko-KR"/>
        </w:rPr>
        <w:t xml:space="preserve">per walking bout and </w:t>
      </w:r>
      <w:r w:rsidR="00BA0437" w:rsidRPr="00BA0437">
        <w:rPr>
          <w:rFonts w:ascii="Times New Roman" w:eastAsiaTheme="minorEastAsia" w:hAnsi="Times New Roman"/>
          <w:bCs/>
          <w:lang w:eastAsia="ko-KR"/>
        </w:rPr>
        <w:t xml:space="preserve">ten </w:t>
      </w:r>
      <w:r w:rsidR="00FE493C">
        <w:rPr>
          <w:rFonts w:ascii="Times New Roman" w:eastAsiaTheme="minorEastAsia" w:hAnsi="Times New Roman"/>
          <w:bCs/>
          <w:lang w:eastAsia="ko-KR"/>
        </w:rPr>
        <w:t>walking bouts</w:t>
      </w:r>
      <w:r w:rsidR="00BA0437" w:rsidRPr="00BA0437">
        <w:rPr>
          <w:rFonts w:ascii="Times New Roman" w:eastAsiaTheme="minorEastAsia" w:hAnsi="Times New Roman"/>
          <w:bCs/>
          <w:lang w:eastAsia="ko-KR"/>
        </w:rPr>
        <w:t xml:space="preserve"> </w:t>
      </w:r>
      <w:r w:rsidR="00FE493C">
        <w:rPr>
          <w:rFonts w:ascii="Times New Roman" w:eastAsiaTheme="minorEastAsia" w:hAnsi="Times New Roman"/>
          <w:bCs/>
          <w:lang w:eastAsia="ko-KR"/>
        </w:rPr>
        <w:t>a week</w:t>
      </w:r>
      <w:r w:rsidR="00873780">
        <w:rPr>
          <w:rFonts w:ascii="Times New Roman" w:eastAsiaTheme="minorEastAsia" w:hAnsi="Times New Roman"/>
          <w:bCs/>
          <w:lang w:eastAsia="ko-KR"/>
        </w:rPr>
        <w:t>,</w:t>
      </w:r>
      <w:r w:rsidR="00FE493C">
        <w:rPr>
          <w:rFonts w:ascii="Times New Roman" w:eastAsiaTheme="minorEastAsia" w:hAnsi="Times New Roman"/>
          <w:bCs/>
          <w:lang w:eastAsia="ko-KR"/>
        </w:rPr>
        <w:t xml:space="preserve"> </w:t>
      </w:r>
      <w:r w:rsidR="00BA0437" w:rsidRPr="00BA0437">
        <w:rPr>
          <w:rFonts w:ascii="Times New Roman" w:eastAsiaTheme="minorEastAsia" w:hAnsi="Times New Roman"/>
          <w:bCs/>
          <w:lang w:eastAsia="ko-KR"/>
        </w:rPr>
        <w:t xml:space="preserve">and walking for </w:t>
      </w:r>
      <w:r w:rsidR="00FE493C">
        <w:rPr>
          <w:rFonts w:ascii="Times New Roman" w:eastAsiaTheme="minorEastAsia" w:hAnsi="Times New Roman"/>
          <w:bCs/>
          <w:lang w:eastAsia="ko-KR"/>
        </w:rPr>
        <w:t>75 minutes per bout and two</w:t>
      </w:r>
      <w:r w:rsidR="004C1527" w:rsidRPr="00BA0437">
        <w:rPr>
          <w:rFonts w:ascii="Times New Roman" w:eastAsiaTheme="minorEastAsia" w:hAnsi="Times New Roman"/>
          <w:bCs/>
          <w:lang w:eastAsia="ko-KR"/>
        </w:rPr>
        <w:t xml:space="preserve"> </w:t>
      </w:r>
      <w:r w:rsidR="00FE493C">
        <w:rPr>
          <w:rFonts w:ascii="Times New Roman" w:eastAsiaTheme="minorEastAsia" w:hAnsi="Times New Roman"/>
          <w:bCs/>
          <w:lang w:eastAsia="ko-KR"/>
        </w:rPr>
        <w:t>bouts a week</w:t>
      </w:r>
      <w:r w:rsidR="00873780">
        <w:rPr>
          <w:rFonts w:ascii="Times New Roman" w:eastAsiaTheme="minorEastAsia" w:hAnsi="Times New Roman"/>
          <w:bCs/>
          <w:lang w:eastAsia="ko-KR"/>
        </w:rPr>
        <w:t>,</w:t>
      </w:r>
      <w:r w:rsidR="00BA0437" w:rsidRPr="00BA0437">
        <w:rPr>
          <w:rFonts w:ascii="Times New Roman" w:eastAsiaTheme="minorEastAsia" w:hAnsi="Times New Roman"/>
          <w:bCs/>
          <w:lang w:eastAsia="ko-KR"/>
        </w:rPr>
        <w:t xml:space="preserve"> both involve a total of </w:t>
      </w:r>
      <w:r w:rsidR="004C1527">
        <w:rPr>
          <w:rFonts w:ascii="Times New Roman" w:eastAsiaTheme="minorEastAsia" w:hAnsi="Times New Roman"/>
          <w:bCs/>
          <w:lang w:eastAsia="ko-KR"/>
        </w:rPr>
        <w:t>1</w:t>
      </w:r>
      <w:r w:rsidR="00BA0437" w:rsidRPr="00BA0437">
        <w:rPr>
          <w:rFonts w:ascii="Times New Roman" w:eastAsiaTheme="minorEastAsia" w:hAnsi="Times New Roman"/>
          <w:bCs/>
          <w:lang w:eastAsia="ko-KR"/>
        </w:rPr>
        <w:t xml:space="preserve">50 </w:t>
      </w:r>
      <w:r w:rsidR="00FE493C">
        <w:rPr>
          <w:rFonts w:ascii="Times New Roman" w:eastAsiaTheme="minorEastAsia" w:hAnsi="Times New Roman"/>
          <w:bCs/>
          <w:lang w:eastAsia="ko-KR"/>
        </w:rPr>
        <w:t xml:space="preserve">weekly </w:t>
      </w:r>
      <w:r w:rsidR="00BA0437" w:rsidRPr="00BA0437">
        <w:rPr>
          <w:rFonts w:ascii="Times New Roman" w:eastAsiaTheme="minorEastAsia" w:hAnsi="Times New Roman"/>
          <w:bCs/>
          <w:lang w:eastAsia="ko-KR"/>
        </w:rPr>
        <w:t>minutes of walking, there are differences in the potential health benefits.</w:t>
      </w:r>
      <w:r w:rsidR="00BA0437">
        <w:rPr>
          <w:rFonts w:ascii="Times New Roman" w:eastAsiaTheme="minorEastAsia" w:hAnsi="Times New Roman"/>
          <w:bCs/>
          <w:lang w:eastAsia="ko-KR"/>
        </w:rPr>
        <w:t xml:space="preserve"> </w:t>
      </w:r>
      <w:r w:rsidR="00F2413A">
        <w:rPr>
          <w:rFonts w:ascii="Times New Roman" w:eastAsiaTheme="minorEastAsia" w:hAnsi="Times New Roman"/>
          <w:bCs/>
          <w:lang w:eastAsia="ko-KR"/>
        </w:rPr>
        <w:t xml:space="preserve">The </w:t>
      </w:r>
      <w:r w:rsidR="00F2413A" w:rsidRPr="00BA0437">
        <w:rPr>
          <w:rFonts w:ascii="Times New Roman" w:eastAsiaTheme="minorEastAsia" w:hAnsi="Times New Roman"/>
          <w:bCs/>
          <w:lang w:eastAsia="ko-KR"/>
        </w:rPr>
        <w:t>shorter</w:t>
      </w:r>
      <w:r w:rsidR="00F2413A">
        <w:rPr>
          <w:rFonts w:ascii="Times New Roman" w:eastAsiaTheme="minorEastAsia" w:hAnsi="Times New Roman"/>
          <w:bCs/>
          <w:lang w:eastAsia="ko-KR"/>
        </w:rPr>
        <w:t xml:space="preserve"> and</w:t>
      </w:r>
      <w:r w:rsidR="00F2413A" w:rsidRPr="00BA0437">
        <w:rPr>
          <w:rFonts w:ascii="Times New Roman" w:eastAsiaTheme="minorEastAsia" w:hAnsi="Times New Roman"/>
          <w:bCs/>
          <w:lang w:eastAsia="ko-KR"/>
        </w:rPr>
        <w:t xml:space="preserve"> more </w:t>
      </w:r>
      <w:r w:rsidR="00F2413A" w:rsidRPr="00587212">
        <w:rPr>
          <w:rFonts w:ascii="Times New Roman" w:eastAsiaTheme="minorEastAsia" w:hAnsi="Times New Roman"/>
          <w:bCs/>
          <w:lang w:eastAsia="ko-KR"/>
        </w:rPr>
        <w:t>frequent bouts are beneficial for regulating blood sugar levels, particularly for those with diabetes or insulin resistance</w:t>
      </w:r>
      <w:r w:rsidR="00F2413A" w:rsidRPr="00587212">
        <w:rPr>
          <w:rFonts w:ascii="Times New Roman" w:eastAsiaTheme="minorEastAsia" w:hAnsi="Times New Roman" w:hint="eastAsia"/>
          <w:bCs/>
          <w:lang w:eastAsia="ko-KR"/>
        </w:rPr>
        <w:t xml:space="preserve"> </w:t>
      </w:r>
      <w:bookmarkStart w:id="7" w:name="_Hlk169959801"/>
      <w:r w:rsidR="00F2413A" w:rsidRPr="00587212">
        <w:rPr>
          <w:rFonts w:ascii="Times New Roman" w:eastAsiaTheme="minorEastAsia" w:hAnsi="Times New Roman"/>
          <w:bCs/>
          <w:lang w:eastAsia="ko-KR"/>
        </w:rPr>
        <w:fldChar w:fldCharType="begin"/>
      </w:r>
      <w:r w:rsidR="00F2413A" w:rsidRPr="00587212">
        <w:rPr>
          <w:rFonts w:ascii="Times New Roman" w:eastAsiaTheme="minorEastAsia" w:hAnsi="Times New Roman"/>
          <w:bCs/>
          <w:lang w:eastAsia="ko-KR"/>
        </w:rPr>
        <w:instrText xml:space="preserve"> ADDIN ZOTERO_ITEM CSL_CITATION {"citationID":"oOoHPKMi","properties":{"formattedCitation":"(Umpierre et al., 2013)","plainCitation":"(Umpierre et al., 2013)","dontUpdate":true,"noteIndex":0},"citationItems":[{"id":1123,"uris":["http://zotero.org/users/10132210/items/M6AZ6XV8"],"itemData":{"id":1123,"type":"article-journal","container-title":"Diabetologia","DOI":"10.1007/s00125-012-2774-z","ISSN":"0012-186X, 1432-0428","issue":"2","journalAbbreviation":"Diabetologia","language":"en","license":"http://www.springer.com/tdm","page":"242-251","source":"DOI.org (Crossref)","title":"Volume of supervised exercise training impacts glycaemic control in patients with type 2 diabetes: a systematic review with meta-regression analysis","title-short":"Volume of supervised exercise training impacts glycaemic control in patients with type 2 diabetes","volume":"56","author":[{"family":"Umpierre","given":"D."},{"family":"Ribeiro","given":"P. A. B."},{"family":"Schaan","given":"B. D."},{"family":"Ribeiro","given":"J. P."}],"issued":{"date-parts":[["2013",2]]}}}],"schema":"https://github.com/citation-style-language/schema/raw/master/csl-citation.json"} </w:instrText>
      </w:r>
      <w:r w:rsidR="00F2413A" w:rsidRPr="00587212">
        <w:rPr>
          <w:rFonts w:ascii="Times New Roman" w:eastAsiaTheme="minorEastAsia" w:hAnsi="Times New Roman"/>
          <w:bCs/>
          <w:lang w:eastAsia="ko-KR"/>
        </w:rPr>
        <w:fldChar w:fldCharType="separate"/>
      </w:r>
      <w:r w:rsidR="00F2413A" w:rsidRPr="00587212">
        <w:rPr>
          <w:rFonts w:ascii="Times New Roman" w:hAnsi="Times New Roman"/>
        </w:rPr>
        <w:t>(</w:t>
      </w:r>
      <w:r w:rsidR="00F2413A" w:rsidRPr="00587212">
        <w:rPr>
          <w:rFonts w:ascii="Times New Roman" w:eastAsiaTheme="minorEastAsia" w:hAnsi="Times New Roman"/>
          <w:lang w:eastAsia="ko-KR"/>
        </w:rPr>
        <w:t xml:space="preserve">see </w:t>
      </w:r>
      <w:r w:rsidR="00F2413A" w:rsidRPr="00587212">
        <w:rPr>
          <w:rFonts w:ascii="Times New Roman" w:hAnsi="Times New Roman"/>
        </w:rPr>
        <w:t>Umpierre et al., 2013</w:t>
      </w:r>
      <w:r w:rsidR="00F2413A" w:rsidRPr="00587212">
        <w:rPr>
          <w:rFonts w:ascii="Times New Roman" w:eastAsiaTheme="minorEastAsia" w:hAnsi="Times New Roman"/>
          <w:bCs/>
          <w:lang w:eastAsia="ko-KR"/>
        </w:rPr>
        <w:fldChar w:fldCharType="end"/>
      </w:r>
      <w:r w:rsidR="00F2413A" w:rsidRPr="00587212">
        <w:rPr>
          <w:rFonts w:ascii="Times New Roman" w:eastAsiaTheme="minorEastAsia" w:hAnsi="Times New Roman"/>
          <w:bCs/>
          <w:lang w:eastAsia="ko-KR"/>
        </w:rPr>
        <w:t xml:space="preserve"> </w:t>
      </w:r>
      <w:bookmarkEnd w:id="7"/>
      <w:r w:rsidR="00F2413A" w:rsidRPr="00587212">
        <w:rPr>
          <w:rFonts w:ascii="Times New Roman" w:eastAsiaTheme="minorEastAsia" w:hAnsi="Times New Roman"/>
          <w:bCs/>
          <w:lang w:eastAsia="ko-KR"/>
        </w:rPr>
        <w:t>for a systematic review assessing the association between intensity and volume of exercise in patients with type 2 diabetes). Moreover, the psychological benefits of walking, such as reduced stress and improved mood, may be more noticeable with frequent bouts spread throughout the day or week.</w:t>
      </w:r>
      <w:r w:rsidR="00F2413A" w:rsidRPr="00587212">
        <w:rPr>
          <w:rFonts w:ascii="Times New Roman" w:eastAsiaTheme="minorEastAsia" w:hAnsi="Times New Roman" w:hint="eastAsia"/>
          <w:bCs/>
          <w:lang w:eastAsia="ko-KR"/>
        </w:rPr>
        <w:t xml:space="preserve"> </w:t>
      </w:r>
      <w:r w:rsidR="00BA0437" w:rsidRPr="00587212">
        <w:rPr>
          <w:rFonts w:ascii="Times New Roman" w:eastAsiaTheme="minorEastAsia" w:hAnsi="Times New Roman"/>
          <w:bCs/>
          <w:lang w:eastAsia="ko-KR"/>
        </w:rPr>
        <w:t>The longer</w:t>
      </w:r>
      <w:r w:rsidR="00F2413A" w:rsidRPr="00587212">
        <w:rPr>
          <w:rFonts w:ascii="Times New Roman" w:eastAsiaTheme="minorEastAsia" w:hAnsi="Times New Roman"/>
          <w:bCs/>
          <w:lang w:eastAsia="ko-KR"/>
        </w:rPr>
        <w:t xml:space="preserve"> bouts, on the other hand, </w:t>
      </w:r>
      <w:r w:rsidR="00BA0437" w:rsidRPr="00587212">
        <w:rPr>
          <w:rFonts w:ascii="Times New Roman" w:eastAsiaTheme="minorEastAsia" w:hAnsi="Times New Roman"/>
          <w:bCs/>
          <w:lang w:eastAsia="ko-KR"/>
        </w:rPr>
        <w:t>provide</w:t>
      </w:r>
      <w:r w:rsidR="00F2413A" w:rsidRPr="00587212">
        <w:rPr>
          <w:rFonts w:ascii="Times New Roman" w:eastAsiaTheme="minorEastAsia" w:hAnsi="Times New Roman"/>
          <w:bCs/>
          <w:lang w:eastAsia="ko-KR"/>
        </w:rPr>
        <w:t xml:space="preserve"> </w:t>
      </w:r>
      <w:r w:rsidR="00BA0437" w:rsidRPr="00587212">
        <w:rPr>
          <w:rFonts w:ascii="Times New Roman" w:eastAsiaTheme="minorEastAsia" w:hAnsi="Times New Roman"/>
          <w:bCs/>
          <w:lang w:eastAsia="ko-KR"/>
        </w:rPr>
        <w:t>sustained cardiovascular exercise, leading to greater improvements in heart health and endurance</w:t>
      </w:r>
      <w:r w:rsidR="00FF4856" w:rsidRPr="00587212">
        <w:rPr>
          <w:rFonts w:ascii="Times New Roman" w:eastAsiaTheme="minorEastAsia" w:hAnsi="Times New Roman" w:hint="eastAsia"/>
          <w:bCs/>
          <w:lang w:eastAsia="ko-KR"/>
        </w:rPr>
        <w:t xml:space="preserve"> and reduction </w:t>
      </w:r>
      <w:r w:rsidR="00EE78BB" w:rsidRPr="00587212">
        <w:rPr>
          <w:rFonts w:ascii="Times New Roman" w:eastAsiaTheme="minorEastAsia" w:hAnsi="Times New Roman" w:hint="eastAsia"/>
          <w:bCs/>
          <w:lang w:eastAsia="ko-KR"/>
        </w:rPr>
        <w:t xml:space="preserve">in cholesterol rate </w:t>
      </w:r>
      <w:r w:rsidR="00BA0437" w:rsidRPr="00587212">
        <w:rPr>
          <w:rFonts w:ascii="Times New Roman" w:eastAsiaTheme="minorEastAsia" w:hAnsi="Times New Roman"/>
          <w:bCs/>
          <w:lang w:eastAsia="ko-KR"/>
        </w:rPr>
        <w:t>compared to the shorter</w:t>
      </w:r>
      <w:r w:rsidR="00F2413A" w:rsidRPr="00587212">
        <w:rPr>
          <w:rFonts w:ascii="Times New Roman" w:eastAsiaTheme="minorEastAsia" w:hAnsi="Times New Roman"/>
          <w:bCs/>
          <w:lang w:eastAsia="ko-KR"/>
        </w:rPr>
        <w:t xml:space="preserve">, </w:t>
      </w:r>
      <w:r w:rsidR="00BA0437" w:rsidRPr="00587212">
        <w:rPr>
          <w:rFonts w:ascii="Times New Roman" w:eastAsiaTheme="minorEastAsia" w:hAnsi="Times New Roman"/>
          <w:bCs/>
          <w:lang w:eastAsia="ko-KR"/>
        </w:rPr>
        <w:t>more</w:t>
      </w:r>
      <w:r w:rsidR="004776C1" w:rsidRPr="00587212">
        <w:rPr>
          <w:rFonts w:ascii="Times New Roman" w:eastAsiaTheme="minorEastAsia" w:hAnsi="Times New Roman"/>
          <w:bCs/>
          <w:lang w:eastAsia="ko-KR"/>
        </w:rPr>
        <w:t xml:space="preserve"> </w:t>
      </w:r>
      <w:r w:rsidR="002E2A12" w:rsidRPr="00587212">
        <w:rPr>
          <w:rFonts w:ascii="Times New Roman" w:eastAsiaTheme="minorEastAsia" w:hAnsi="Times New Roman"/>
          <w:bCs/>
          <w:lang w:eastAsia="ko-KR"/>
        </w:rPr>
        <w:t xml:space="preserve">frequent </w:t>
      </w:r>
      <w:r w:rsidR="00F2413A" w:rsidRPr="00587212">
        <w:rPr>
          <w:rFonts w:ascii="Times New Roman" w:eastAsiaTheme="minorEastAsia" w:hAnsi="Times New Roman"/>
          <w:bCs/>
          <w:lang w:eastAsia="ko-KR"/>
        </w:rPr>
        <w:t>bouts</w:t>
      </w:r>
      <w:r w:rsidR="00EE78BB" w:rsidRPr="00587212">
        <w:rPr>
          <w:rFonts w:ascii="Times New Roman" w:eastAsiaTheme="minorEastAsia" w:hAnsi="Times New Roman" w:hint="eastAsia"/>
          <w:bCs/>
          <w:lang w:eastAsia="ko-KR"/>
        </w:rPr>
        <w:t xml:space="preserve"> </w:t>
      </w:r>
      <w:r w:rsidR="00EE78BB" w:rsidRPr="00587212">
        <w:rPr>
          <w:rFonts w:ascii="Times New Roman" w:eastAsiaTheme="minorEastAsia" w:hAnsi="Times New Roman"/>
          <w:bCs/>
          <w:lang w:eastAsia="ko-KR"/>
        </w:rPr>
        <w:fldChar w:fldCharType="begin"/>
      </w:r>
      <w:r w:rsidR="00130D33" w:rsidRPr="00587212">
        <w:rPr>
          <w:rFonts w:ascii="Times New Roman" w:eastAsiaTheme="minorEastAsia" w:hAnsi="Times New Roman"/>
          <w:bCs/>
          <w:lang w:eastAsia="ko-KR"/>
        </w:rPr>
        <w:instrText xml:space="preserve"> ADDIN ZOTERO_ITEM CSL_CITATION {"citationID":"TWz0yI0y","properties":{"formattedCitation":"(Prasertsri et al., 2022; Vasankari et al., 2017)","plainCitation":"(Prasertsri et al., 2022; Vasankari et al., 2017)","dontUpdate":true,"noteIndex":0},"citationItems":[{"id":1202,"uris":["http://zotero.org/users/10132210/items/MPKZMQQ8"],"itemData":{"id":1202,"type":"article-journal","abstract":"It is documented that regular exercise is beneficial for improving the antioxidant system, metabolic system, cardiac autonomic function, and blood pressure in those with hypertension. In this regard, low-intensity exercise is recommended for older adults, particularly those with chronic diseases. This study aimed to compare the effects of long-term regular continuous walking with intermittent walking on oxidative stress, metabolic profile, heart rate variability, and blood pressure in older adults with hypertension. Forty-three participants with hypertension aged 60–80 years were randomly divided into the continuous or intermittent walking (CON or INT) groups. Participants in the CON group walked for 30 min, 3 days/week for 12 weeks. Participants in the INT group split 30 min walking into 3 identical sessions punctuated by a 1 min rest after each session, 3 days/week for 12 weeks. Antioxidant and oxidative stress markers, metabolic markers, heart rate variability, and blood pressure were evaluated before and after the exercise program. Glutathione (GSH), GSH to GSH disulfide (GSSG) ratio, and total GSH increased significantly, and GSSG and malondialdehyde decreased significantly in both groups (\n              \n                \n                  p\n                  &lt;\n                  0.05\n                \n              \n              ) without significant differences between groups. Triglycerides, ratio of total cholesterol to high-density lipoprotein cholesterol, and atherosclerogenic index were significantly lower in the CON group than those in the INT group (\n              \n                \n                  p\n                  &lt;\n                  0.05\n                \n              \n              ). The standard deviation of the NN intervals and root mean square of the successive differences were significantly higher, and low-frequency power was significantly lower in the INT group than that in the CON group (\n              \n                \n                  p\n                  &lt;\n                  0.05\n                \n              \n              ). No significant changes in blood pressure were noted in both groups, and nor were there any significant differences between groups. Long-term regular continuous and intermittent walking may comparably increase antioxidants, reduce oxidative stress, and be beneficial for improving important blood pressure-related outcomes, including metabolic profile or cardiac autonomic function in older adults with hypertension.","container-title":"Journal of Environmental and Public Health","DOI":"10.1155/2022/5942947","ISSN":"1687-9813, 1687-9805","journalAbbreviation":"Journal of Environmental and Public Health","language":"en","license":"https://creativecommons.org/licenses/by/4.0/","page":"1-12","source":"DOI.org (Crossref)","title":"Effects of Long-Term Regular Continuous and Intermittent Walking on Oxidative Stress, Metabolic Profile, Heart Rate Variability, and Blood Pressure in Older Adults with Hypertension","volume":"2022","author":[{"family":"Prasertsri","given":"Piyapong"},{"family":"Phoemsapthawee","given":"Jatuporn"},{"family":"Kuamsub","given":"Sirigoon"},{"family":"Poolpol","given":"Kulwara"},{"family":"Boonla","given":"Orachorn"}],"editor":[{"family":"Gerber","given":"Linda M."}],"issued":{"date-parts":[["2022",1,31]]}}},{"id":1117,"uris":["http://zotero.org/users/10132210/items/4K8XUGTF"],"itemData":{"id":1117,"type":"article-journal","abstract":"Background: We evaluated the association of accelerometer-based sedentary behaviour and physical activity with the risk of cardiovascular disease. Design: The design of this study used a population-based, cross-sectional sample.\nMethods: A subsample of participants in the Health 2011 Study in Finland used the tri-axial accelerometer (!4 days, &gt;10 h/day, n ¼ 1398). Sedentary behaviour (sitting, lying) and standing still in six-second epochs were recognised from raw acceleration data based on intensity and device orientation. The intensity of physical activity was calculated as oneminute moving averages of mean amplitude deviation of resultant acceleration and converted to metabolic equivalents. Metabolic equivalents were categorised to light physical activity (1.5–2.9 metabolic equivalents) and moderate-to-vigorous physical activity (moderate-to-vigorous physical activity!3.0 metabolic equivalents). Daily sedentary behaviour, standing still, light physical activity and moderate-to-vigorous physical activity were expressed as mean daily total time, accumulated time and number of different bouts (from 30 s to &gt;30 min), mean daily metabolic equivalent and weekly peak metabolic equivalent levels of different bout lengths and number of breaks in sedentary behaviour. The tenyear cardiovascular disease risk was based on the Framingham risk model.\nResults: The mean number of daily sedentary behaviour bouts was more strongly associated with cardiovascular disease risk than mean daily total time. In the best model, smaller waist circumference, greater value of mean daily metabolic equivalent levels of one-minute bouts, higher accumulated time of moderate-to-vigorous physical activity lasting 30 min, higher number of &gt;5 min standing bouts and a higher number of long (&gt;30 min) bouts of light physical activity were significantly associated with lower cardiovascular disease risk (R2 ¼ 0.836).\nConclusions: The objectively measured number and accumulated time from different bout lengths of physical activity and sedentary behaviour were associated with cardiovascular disease risk, which is considered relevant for estimating cardiovascular diseases and for devising preventive actions.","container-title":"European Journal of Preventive Cardiology","DOI":"10.1177/2047487317711048","ISSN":"2047-4873, 2047-4881","issue":"12","journalAbbreviation":"Eur J Prev Cardiolog","language":"en","page":"1311-1318","source":"DOI.org (Crossref)","title":"Association of objectively measured sedentary behaviour and physical activity with cardiovascular disease risk","volume":"24","author":[{"family":"Vasankari","given":"Ville"},{"family":"Husu","given":"Pauliina"},{"family":"Vähä-Ypyä","given":"Henri"},{"family":"Suni","given":"Jaana"},{"family":"Tokola","given":"Kari"},{"family":"Halonen","given":"Jari"},{"family":"Hartikainen","given":"Juha"},{"family":"Sievänen","given":"Harri"},{"family":"Vasankari","given":"Tommi"}],"issued":{"date-parts":[["2017",8]]}}}],"schema":"https://github.com/citation-style-language/schema/raw/master/csl-citation.json"} </w:instrText>
      </w:r>
      <w:r w:rsidR="00EE78BB" w:rsidRPr="00587212">
        <w:rPr>
          <w:rFonts w:ascii="Times New Roman" w:eastAsiaTheme="minorEastAsia" w:hAnsi="Times New Roman"/>
          <w:bCs/>
          <w:lang w:eastAsia="ko-KR"/>
        </w:rPr>
        <w:fldChar w:fldCharType="separate"/>
      </w:r>
      <w:r w:rsidR="00EE78BB" w:rsidRPr="00587212">
        <w:rPr>
          <w:rFonts w:ascii="Times New Roman" w:hAnsi="Times New Roman"/>
        </w:rPr>
        <w:t>(</w:t>
      </w:r>
      <w:r w:rsidR="007E6A99" w:rsidRPr="00587212">
        <w:rPr>
          <w:rFonts w:ascii="Times New Roman" w:eastAsiaTheme="minorEastAsia" w:hAnsi="Times New Roman"/>
          <w:lang w:eastAsia="ko-KR"/>
        </w:rPr>
        <w:t xml:space="preserve">see </w:t>
      </w:r>
      <w:r w:rsidR="007E6A99" w:rsidRPr="00587212">
        <w:rPr>
          <w:rFonts w:ascii="Times New Roman" w:hAnsi="Times New Roman"/>
        </w:rPr>
        <w:t>Vasankari et al., 2017</w:t>
      </w:r>
      <w:r w:rsidR="007E6A99" w:rsidRPr="00587212">
        <w:rPr>
          <w:rFonts w:ascii="Times New Roman" w:eastAsiaTheme="minorEastAsia" w:hAnsi="Times New Roman"/>
          <w:lang w:eastAsia="ko-KR"/>
        </w:rPr>
        <w:t xml:space="preserve"> and </w:t>
      </w:r>
      <w:r w:rsidR="00EE78BB" w:rsidRPr="00587212">
        <w:rPr>
          <w:rFonts w:ascii="Times New Roman" w:hAnsi="Times New Roman"/>
        </w:rPr>
        <w:t>Prasertsri et al., 2022)</w:t>
      </w:r>
      <w:r w:rsidR="00EE78BB" w:rsidRPr="00587212">
        <w:rPr>
          <w:rFonts w:ascii="Times New Roman" w:eastAsiaTheme="minorEastAsia" w:hAnsi="Times New Roman"/>
          <w:bCs/>
          <w:lang w:eastAsia="ko-KR"/>
        </w:rPr>
        <w:fldChar w:fldCharType="end"/>
      </w:r>
      <w:r w:rsidR="00997ADD" w:rsidRPr="00587212">
        <w:rPr>
          <w:rFonts w:ascii="Times New Roman" w:eastAsiaTheme="minorEastAsia" w:hAnsi="Times New Roman" w:hint="eastAsia"/>
          <w:bCs/>
          <w:lang w:eastAsia="ko-KR"/>
        </w:rPr>
        <w:t xml:space="preserve">. </w:t>
      </w:r>
      <w:r w:rsidR="00F2413A" w:rsidRPr="00587212">
        <w:rPr>
          <w:rFonts w:ascii="Times New Roman" w:eastAsiaTheme="minorEastAsia" w:hAnsi="Times New Roman"/>
          <w:bCs/>
          <w:lang w:eastAsia="ko-KR"/>
        </w:rPr>
        <w:t xml:space="preserve">In short, whether a good balance between frequency and duration is preferable </w:t>
      </w:r>
      <w:r w:rsidR="00873780" w:rsidRPr="00587212">
        <w:rPr>
          <w:rFonts w:ascii="Times New Roman" w:eastAsiaTheme="minorEastAsia" w:hAnsi="Times New Roman"/>
          <w:bCs/>
          <w:lang w:eastAsia="ko-KR"/>
        </w:rPr>
        <w:t xml:space="preserve">or not </w:t>
      </w:r>
      <w:r w:rsidR="00F2413A" w:rsidRPr="00587212">
        <w:rPr>
          <w:rFonts w:ascii="Times New Roman" w:eastAsiaTheme="minorEastAsia" w:hAnsi="Times New Roman"/>
          <w:bCs/>
          <w:lang w:eastAsia="ko-KR"/>
        </w:rPr>
        <w:t xml:space="preserve">is not in question, though the “optimal” balance may vary from individual to individual. In this context, it is important to examine </w:t>
      </w:r>
      <w:r w:rsidR="003E588C" w:rsidRPr="00587212">
        <w:rPr>
          <w:rFonts w:ascii="Times New Roman" w:eastAsiaTheme="minorEastAsia" w:hAnsi="Times New Roman"/>
          <w:bCs/>
          <w:lang w:eastAsia="ko-KR"/>
        </w:rPr>
        <w:t xml:space="preserve">both the frequency and duration </w:t>
      </w:r>
      <w:r w:rsidR="00F2413A" w:rsidRPr="00587212">
        <w:rPr>
          <w:rFonts w:ascii="Times New Roman" w:eastAsiaTheme="minorEastAsia" w:hAnsi="Times New Roman"/>
          <w:bCs/>
          <w:lang w:eastAsia="ko-KR"/>
        </w:rPr>
        <w:t xml:space="preserve">dimensions </w:t>
      </w:r>
      <w:r w:rsidR="003E588C" w:rsidRPr="00587212">
        <w:rPr>
          <w:rFonts w:ascii="Times New Roman" w:eastAsiaTheme="minorEastAsia" w:hAnsi="Times New Roman"/>
          <w:bCs/>
          <w:lang w:eastAsia="ko-KR"/>
        </w:rPr>
        <w:t xml:space="preserve">of walking episodes when </w:t>
      </w:r>
      <w:r w:rsidR="00BF4EDE" w:rsidRPr="00587212">
        <w:rPr>
          <w:rFonts w:ascii="Times New Roman" w:eastAsiaTheme="minorEastAsia" w:hAnsi="Times New Roman"/>
          <w:bCs/>
          <w:lang w:eastAsia="ko-KR"/>
        </w:rPr>
        <w:t xml:space="preserve">studying </w:t>
      </w:r>
      <w:r w:rsidR="003E588C" w:rsidRPr="00587212">
        <w:rPr>
          <w:rFonts w:ascii="Times New Roman" w:eastAsiaTheme="minorEastAsia" w:hAnsi="Times New Roman"/>
          <w:bCs/>
          <w:lang w:eastAsia="ko-KR"/>
        </w:rPr>
        <w:t>walking</w:t>
      </w:r>
      <w:r w:rsidR="00BF4EDE" w:rsidRPr="00587212">
        <w:rPr>
          <w:rFonts w:ascii="Times New Roman" w:eastAsiaTheme="minorEastAsia" w:hAnsi="Times New Roman"/>
          <w:bCs/>
          <w:lang w:eastAsia="ko-KR"/>
        </w:rPr>
        <w:t xml:space="preserve"> behaviors</w:t>
      </w:r>
      <w:r w:rsidR="003E588C" w:rsidRPr="00587212">
        <w:rPr>
          <w:rFonts w:ascii="Times New Roman" w:eastAsiaTheme="minorEastAsia" w:hAnsi="Times New Roman"/>
          <w:bCs/>
          <w:lang w:eastAsia="ko-KR"/>
        </w:rPr>
        <w:t>.</w:t>
      </w:r>
      <w:r w:rsidR="00942DB7" w:rsidRPr="00587212">
        <w:rPr>
          <w:rFonts w:ascii="Times New Roman" w:eastAsiaTheme="minorEastAsia" w:hAnsi="Times New Roman" w:hint="eastAsia"/>
          <w:bCs/>
          <w:lang w:eastAsia="ko-KR"/>
        </w:rPr>
        <w:t xml:space="preserve"> </w:t>
      </w:r>
      <w:r w:rsidR="00F2413A" w:rsidRPr="00587212">
        <w:rPr>
          <w:rFonts w:ascii="Times New Roman" w:eastAsiaTheme="minorEastAsia" w:hAnsi="Times New Roman"/>
          <w:bCs/>
          <w:lang w:eastAsia="ko-KR"/>
        </w:rPr>
        <w:t xml:space="preserve">In contrast, </w:t>
      </w:r>
      <w:r w:rsidR="00BF4EDE" w:rsidRPr="00587212">
        <w:rPr>
          <w:rFonts w:ascii="Times New Roman" w:eastAsiaTheme="minorEastAsia" w:hAnsi="Times New Roman"/>
          <w:bCs/>
          <w:lang w:eastAsia="ko-KR"/>
        </w:rPr>
        <w:t xml:space="preserve">most existing </w:t>
      </w:r>
      <w:r w:rsidR="00942DB7" w:rsidRPr="00587212">
        <w:rPr>
          <w:rFonts w:ascii="Times New Roman" w:eastAsiaTheme="minorEastAsia" w:hAnsi="Times New Roman"/>
          <w:bCs/>
          <w:lang w:eastAsia="ko-KR"/>
        </w:rPr>
        <w:t>studies have either</w:t>
      </w:r>
      <w:r w:rsidR="00BF4EDE" w:rsidRPr="00587212">
        <w:rPr>
          <w:rFonts w:ascii="Times New Roman" w:eastAsiaTheme="minorEastAsia" w:hAnsi="Times New Roman"/>
          <w:bCs/>
          <w:lang w:eastAsia="ko-KR"/>
        </w:rPr>
        <w:t xml:space="preserve"> focused </w:t>
      </w:r>
      <w:r w:rsidR="00F2413A" w:rsidRPr="00587212">
        <w:rPr>
          <w:rFonts w:ascii="Times New Roman" w:eastAsiaTheme="minorEastAsia" w:hAnsi="Times New Roman"/>
          <w:bCs/>
          <w:lang w:eastAsia="ko-KR"/>
        </w:rPr>
        <w:t xml:space="preserve">solely </w:t>
      </w:r>
      <w:r w:rsidR="00BF4EDE" w:rsidRPr="00587212">
        <w:rPr>
          <w:rFonts w:ascii="Times New Roman" w:eastAsiaTheme="minorEastAsia" w:hAnsi="Times New Roman"/>
          <w:bCs/>
          <w:lang w:eastAsia="ko-KR"/>
        </w:rPr>
        <w:t xml:space="preserve">on </w:t>
      </w:r>
      <w:r w:rsidR="00F2413A" w:rsidRPr="00587212">
        <w:rPr>
          <w:rFonts w:ascii="Times New Roman" w:eastAsiaTheme="minorEastAsia" w:hAnsi="Times New Roman"/>
          <w:bCs/>
          <w:lang w:eastAsia="ko-KR"/>
        </w:rPr>
        <w:t xml:space="preserve">bout </w:t>
      </w:r>
      <w:r w:rsidR="00942DB7" w:rsidRPr="00587212">
        <w:rPr>
          <w:rFonts w:ascii="Times New Roman" w:eastAsiaTheme="minorEastAsia" w:hAnsi="Times New Roman"/>
          <w:bCs/>
          <w:lang w:eastAsia="ko-KR"/>
        </w:rPr>
        <w:t>frequency</w:t>
      </w:r>
      <w:r w:rsidR="00942DB7" w:rsidRPr="00587212">
        <w:rPr>
          <w:rFonts w:ascii="Times New Roman" w:eastAsiaTheme="minorEastAsia" w:hAnsi="Times New Roman" w:hint="eastAsia"/>
          <w:bCs/>
          <w:lang w:eastAsia="ko-KR"/>
        </w:rPr>
        <w:t xml:space="preserve"> </w:t>
      </w:r>
      <w:r w:rsidR="00942DB7" w:rsidRPr="00587212">
        <w:rPr>
          <w:rFonts w:ascii="Times New Roman" w:hAnsi="Times New Roman"/>
          <w:bCs/>
        </w:rPr>
        <w:fldChar w:fldCharType="begin"/>
      </w:r>
      <w:r w:rsidR="003123FA" w:rsidRPr="00587212">
        <w:rPr>
          <w:rFonts w:ascii="Times New Roman" w:hAnsi="Times New Roman"/>
          <w:bCs/>
        </w:rPr>
        <w:instrText xml:space="preserve"> ADDIN ZOTERO_ITEM CSL_CITATION {"citationID":"A0mqfw8C","properties":{"formattedCitation":"(Cerin et al., 2009; Hwang et al., 2023; Liao et al., 2017; Sehatzadeh et al., 2011)","plainCitation":"(Cerin et al., 2009; Hwang et al., 2023; Liao et al., 2017; Sehatzadeh et al., 2011)","dontUpdate":true,"noteIndex":0},"citationItems":[{"id":610,"uris":["http://zotero.org/users/10132210/items/WJBNXBBF"],"itemData":{"id":610,"type":"article-journal","abstract":"The identiﬁcation of potential mechanisms of inﬂuence (mediators) of socio-economic status (SES) on walking for transport is important, because the likely opposing forces of inﬂuence may obscure pathways for intervention across different SES groups. This study examined individual, and perceived social and physical environmental mediators of the relations of individual- and area-level SES with walking for transport. Two mailed surveys, six months apart, collected data on transport-related walking and its hypothesized individual, social and environmental correlates. The sample consisted of 2194 Englishspeaking adults (aged 20–65) living in 154 Census Collection Districts (CCDs) of Adelaide, Australia. Individual-level SES was assessed using data on self-reported educational attainment, household income, and household size. Area-level SES was assessed using census data on median household income and household size for each selected CCD. Bootstrap generalized linear models examined associations between SES, potential mediators, and total weekly minutes and frequency of walking for transport. The product-of-coefﬁcient test was used to assess mediating effects. Individual, social–environmental, and physical environmental factors signiﬁcantly contributed to the explanation of the relations between SES and transport-related walking frequency. Educational attainment and area- and individual-level income played independent roles in explaining frequency of walking for transport, through opposing common and distinct pathways. While engagement in leisure-time physical activity was the most inﬂuential mediator of the association between educational attainment and frequency of walking for transport, the number of motorized vehicles and perceived levels of environmental aesthetics and greenery were the strongest mediators of the relations of frequency of transport-related walking with individual- and arealevel income, respectively. Environmental interventions aimed at increasing residential density, reducing physical barriers to walking and trafﬁc load, developing social-support networks, and creating greener and more aesthetically pleasing environments in more-disadvantaged areas may help to reduce SES inequalities in participation in physical activity, by facilitating walking for transport.","container-title":"Social Science &amp; Medicine","DOI":"10.1016/j.socscimed.2009.01.008","ISSN":"02779536","issue":"6","journalAbbreviation":"Social Science &amp; Medicine","language":"en","note":"number: 6","page":"1013-1020","source":"DOI.org (Crossref)","title":"Explaining socio-economic status differences in walking for transport: An ecological analysis of individual, social and environmental factors","title-short":"Explaining socio-economic status differences in walking for transport","volume":"68","author":[{"family":"Cerin","given":"Ester"},{"family":"Leslie","given":"Eva"},{"family":"Owen","given":"Neville"}],"issued":{"date-parts":[["2009",3]]}}},{"id":968,"uris":["http://zotero.org/users/10132210/items/ZARTVWR5"],"itemData":{"id":968,"type":"article-journal","container-title":"Technical paper, Department of Civil, Architectural and Environmental Engineering, The University of Texas at Austin","title":"An analysis of walking frequency before and after the pandemic","author":[{"family":"Hwang","given":"Hyunjun"},{"family":"Haddad","given":"Angela"},{"family":"Batur","given":"Irfan"},{"family":"Saxena","given":"Shobhit"},{"family":"Pendyala","given":"Ram M"},{"family":"Bhat","given":"Chandra R"}],"issued":{"date-parts":[["2023"]]}}},{"id":612,"uris":["http://zotero.org/users/10132210/items/CXYHDPCR"],"itemData":{"id":612,"type":"article-journal","abstract":"This study examines the cross-sectional associations between personal and perceived neighborhood environment attributes regarding walking for recreation and transportation among older Taiwanese adults. Data related to personal factors, perceived environmental factors, and time spent engaging in transportation-related and recreational walking were obtained from 1032 older adults aged 65 years and above. The data were analyzed by carrying out an adjusted binary logistic regression. After adjusting for potential confounders, two commonly perceived environmental factors, the presence of sidewalks (PS) and the presence of a destination (PD), were positively associated with 150 min of walking for recreation. Different personal and perceived environmental factors were associated with walking for recreation and transportation. These ﬁndings suggest that policy-makers and physical activity intervention designers should develop both common and individual environmental strategies in order to improve and increase awareness of the neighborhood environment to promote recreational and transportation walking behaviors among older adults.","container-title":"International Journal of Environmental Research and Public Health","DOI":"10.3390/ijerph14121594","ISSN":"1660-4601","issue":"12","journalAbbreviation":"IJERPH","language":"en","note":"number: 12","page":"1594","source":"DOI.org (Crossref)","title":"Associations of Older Taiwanese Adults’ Personal Attributes and Perceptions of the Neighborhood Environment Concerning Walking for Recreation and Transportation","volume":"14","author":[{"family":"Liao","given":"Yung"},{"family":"Huang","given":"Pin-Hsuan"},{"family":"Hsiang","given":"Chih-Yu"},{"family":"Huang","given":"Jing-Huei"},{"family":"Hsueh","given":"Ming-Chun"},{"family":"Park","given":"Jong-Hwan"}],"issued":{"date-parts":[["2017",12,18]]}}},{"id":592,"uris":["http://zotero.org/users/10132210/items/AY3KT6IF"],"itemData":{"id":592,"type":"article-journal","abstract":"To explain walking propensity or frequency, empirical studies have generally used two sets of explanatory variables, namely, socio-demographic variables and built environment variables. They have generally shown that both socio-demographic characteristics and built environment characteristics are associated with walking propensity. We examine the traditional walkability variables that encompass density, mix of uses, and network connectivity in New Jersey, using a statewide sample including an oversample of Jersey City. We estimate a two-stage least squares model using a conditional mixed process that combines an ordered probit model of walking frequency in the second stage based on a truncated regression of car ownership in the ﬁrst stage. Our results show that built environment variables have some small effects, mainly from better network connectivity associated with increased walking frequency. One of our key ﬁndings is that built environment features also work indirectly via how they inﬂuence car ownership. In general, we ﬁnd sufﬁcient evidence that suggests fewer cars are owned in areas with more walkable built environment features. The other key variable that we control for is whether a household owns a dog. This also proved to be strongly associated with walking suggesting that dog ownership is a necessary control variable to understand the frequency of walking.","container-title":"Transportation Research Part A: Policy and Practice","DOI":"10.1016/j.tra.2011.06.001","ISSN":"09658564","issue":"8","journalAbbreviation":"Transportation Research Part A: Policy and Practice","language":"en","note":"number: 8","page":"741-754","source":"DOI.org (Crossref)","title":"Walking frequency, cars, dogs, and the built environment","volume":"45","author":[{"family":"Sehatzadeh","given":"Bahareh"},{"family":"Noland","given":"Robert B."},{"family":"Weiner","given":"Marc D."}],"issued":{"date-parts":[["2011",10]]}}}],"schema":"https://github.com/citation-style-language/schema/raw/master/csl-citation.json"} </w:instrText>
      </w:r>
      <w:r w:rsidR="00942DB7" w:rsidRPr="00587212">
        <w:rPr>
          <w:rFonts w:ascii="Times New Roman" w:hAnsi="Times New Roman"/>
          <w:bCs/>
        </w:rPr>
        <w:fldChar w:fldCharType="separate"/>
      </w:r>
      <w:bookmarkStart w:id="8" w:name="_Hlk169959850"/>
      <w:r w:rsidR="00942DB7" w:rsidRPr="00587212">
        <w:rPr>
          <w:rFonts w:ascii="Times New Roman" w:hAnsi="Times New Roman"/>
          <w:bCs/>
        </w:rPr>
        <w:t>(</w:t>
      </w:r>
      <w:r w:rsidR="00BF4EDE" w:rsidRPr="00587212">
        <w:rPr>
          <w:rFonts w:ascii="Times New Roman" w:hAnsi="Times New Roman"/>
          <w:bCs/>
        </w:rPr>
        <w:t xml:space="preserve">see </w:t>
      </w:r>
      <w:r w:rsidR="00942DB7" w:rsidRPr="00587212">
        <w:rPr>
          <w:rFonts w:ascii="Times New Roman" w:hAnsi="Times New Roman"/>
          <w:bCs/>
        </w:rPr>
        <w:t>Cerin et al., 2009</w:t>
      </w:r>
      <w:r w:rsidR="003123FA" w:rsidRPr="00587212">
        <w:rPr>
          <w:rFonts w:ascii="Times New Roman" w:eastAsiaTheme="minorEastAsia" w:hAnsi="Times New Roman"/>
          <w:bCs/>
          <w:lang w:eastAsia="ko-KR"/>
        </w:rPr>
        <w:t>,</w:t>
      </w:r>
      <w:r w:rsidR="00942DB7" w:rsidRPr="00587212">
        <w:rPr>
          <w:rFonts w:ascii="Times New Roman" w:hAnsi="Times New Roman"/>
          <w:bCs/>
        </w:rPr>
        <w:t xml:space="preserve">  Sehatzadeh et al., 2011</w:t>
      </w:r>
      <w:bookmarkEnd w:id="8"/>
      <w:r w:rsidR="00435F79" w:rsidRPr="00587212">
        <w:rPr>
          <w:rFonts w:ascii="Times New Roman" w:hAnsi="Times New Roman"/>
          <w:bCs/>
        </w:rPr>
        <w:t>, Liao et al., 2017, and Hwang et al., 2023</w:t>
      </w:r>
      <w:r w:rsidR="00942DB7" w:rsidRPr="00587212">
        <w:rPr>
          <w:rFonts w:ascii="Times New Roman" w:hAnsi="Times New Roman"/>
          <w:bCs/>
        </w:rPr>
        <w:t>)</w:t>
      </w:r>
      <w:r w:rsidR="00942DB7" w:rsidRPr="00587212">
        <w:rPr>
          <w:rFonts w:ascii="Times New Roman" w:hAnsi="Times New Roman"/>
          <w:bCs/>
        </w:rPr>
        <w:fldChar w:fldCharType="end"/>
      </w:r>
      <w:r w:rsidR="00942DB7" w:rsidRPr="00587212">
        <w:rPr>
          <w:rFonts w:ascii="Times New Roman" w:eastAsiaTheme="minorEastAsia" w:hAnsi="Times New Roman"/>
          <w:bCs/>
          <w:lang w:eastAsia="ko-KR"/>
        </w:rPr>
        <w:t>,</w:t>
      </w:r>
      <w:r w:rsidR="00BF4EDE" w:rsidRPr="00587212">
        <w:rPr>
          <w:rFonts w:ascii="Times New Roman" w:eastAsiaTheme="minorEastAsia" w:hAnsi="Times New Roman"/>
          <w:bCs/>
          <w:lang w:eastAsia="ko-KR"/>
        </w:rPr>
        <w:t xml:space="preserve"> or </w:t>
      </w:r>
      <w:r w:rsidR="00F2413A" w:rsidRPr="00587212">
        <w:rPr>
          <w:rFonts w:ascii="Times New Roman" w:eastAsiaTheme="minorEastAsia" w:hAnsi="Times New Roman"/>
          <w:bCs/>
          <w:lang w:eastAsia="ko-KR"/>
        </w:rPr>
        <w:t xml:space="preserve">on </w:t>
      </w:r>
      <w:r w:rsidR="00E63022" w:rsidRPr="00587212">
        <w:rPr>
          <w:rFonts w:ascii="Times New Roman" w:eastAsiaTheme="minorEastAsia" w:hAnsi="Times New Roman"/>
          <w:bCs/>
          <w:lang w:eastAsia="ko-KR"/>
        </w:rPr>
        <w:t xml:space="preserve">the </w:t>
      </w:r>
      <w:r w:rsidR="00F2413A" w:rsidRPr="00587212">
        <w:rPr>
          <w:rFonts w:ascii="Times New Roman" w:eastAsiaTheme="minorEastAsia" w:hAnsi="Times New Roman"/>
          <w:bCs/>
          <w:lang w:eastAsia="ko-KR"/>
        </w:rPr>
        <w:t xml:space="preserve">overall </w:t>
      </w:r>
      <w:r w:rsidR="00942DB7" w:rsidRPr="00587212">
        <w:rPr>
          <w:rFonts w:ascii="Times New Roman" w:eastAsiaTheme="minorEastAsia" w:hAnsi="Times New Roman"/>
          <w:bCs/>
          <w:lang w:eastAsia="ko-KR"/>
        </w:rPr>
        <w:t xml:space="preserve">duration </w:t>
      </w:r>
      <w:r w:rsidR="00BF4EDE" w:rsidRPr="00587212">
        <w:rPr>
          <w:rFonts w:ascii="Times New Roman" w:eastAsiaTheme="minorEastAsia" w:hAnsi="Times New Roman"/>
          <w:bCs/>
          <w:lang w:eastAsia="ko-KR"/>
        </w:rPr>
        <w:t>of walking</w:t>
      </w:r>
      <w:r w:rsidR="00942DB7" w:rsidRPr="00587212">
        <w:rPr>
          <w:rFonts w:ascii="Times New Roman" w:eastAsiaTheme="minorEastAsia" w:hAnsi="Times New Roman" w:hint="eastAsia"/>
          <w:bCs/>
          <w:lang w:eastAsia="ko-KR"/>
        </w:rPr>
        <w:t xml:space="preserve"> </w:t>
      </w:r>
      <w:r w:rsidR="00F2413A" w:rsidRPr="00587212">
        <w:rPr>
          <w:rFonts w:ascii="Times New Roman" w:eastAsiaTheme="minorEastAsia" w:hAnsi="Times New Roman"/>
          <w:bCs/>
          <w:lang w:eastAsia="ko-KR"/>
        </w:rPr>
        <w:t xml:space="preserve">over a certain period </w:t>
      </w:r>
      <w:bookmarkStart w:id="9" w:name="_Hlk169959898"/>
      <w:r w:rsidR="00942DB7" w:rsidRPr="00587212">
        <w:rPr>
          <w:rFonts w:ascii="Times New Roman" w:hAnsi="Times New Roman"/>
          <w:bCs/>
        </w:rPr>
        <w:fldChar w:fldCharType="begin"/>
      </w:r>
      <w:r w:rsidR="00942DB7" w:rsidRPr="00587212">
        <w:rPr>
          <w:rFonts w:ascii="Times New Roman" w:hAnsi="Times New Roman"/>
          <w:bCs/>
        </w:rPr>
        <w:instrText xml:space="preserve"> ADDIN ZOTERO_ITEM CSL_CITATION {"citationID":"S0LzS31s","properties":{"formattedCitation":"(Klenk et al., 2016; Patel et al., 2018; Valenti et al., 2016)","plainCitation":"(Klenk et al., 2016; Patel et al., 2018; Valenti et al., 2016)","dontUpdate":true,"noteIndex":0},"citationItems":[{"id":975,"uris":["http://zotero.org/users/10132210/items/777LRWZJ"],"itemData":{"id":975,"type":"article-journal","abstract":"Background Physical activity is an important component of health. Recommendations based on sensor measurements are sparse in older people. The aim of this study was to analyse the effect of objectively measured walking and sedentary duration on four-year mortality in communitydwelling older people.","container-title":"PLOS ONE","DOI":"10.1371/journal.pone.0153779","ISSN":"1932-6203","issue":"4","journalAbbreviation":"PLoS ONE","language":"en","page":"e0153779","source":"DOI.org (Crossref)","title":"Objectively Measured Walking Duration and Sedentary Behaviour and Four-Year Mortality in Older People","volume":"11","author":[{"family":"Klenk","given":"Jochen"},{"family":"Dallmeier","given":"Dhayana"},{"family":"Denkinger","given":"Michael Dieter"},{"family":"Rapp","given":"Kilian"},{"family":"Koenig","given":"Wolfgang"},{"family":"Rothenbacher","given":"Dietrich"},{"literal":"ActiFE Study Group"}],"editor":[{"family":"Macaluso","given":"Andrea"}],"issued":{"date-parts":[["2016",4,15]]}}},{"id":974,"uris":["http://zotero.org/users/10132210/items/BUYGY5KE"],"itemData":{"id":974,"type":"article-journal","abstract":"Introduction: Engaging in 4150 minutes of moderate-intensity or 75 minutes of vigorousintensity physical activity weekly is recommended for optimal health. The relationship between walking, the most common activity especially for older adults, and total mortality is not well documented.\nMethods: Data from a large U.S. prospective cohort study including 62,178 men (mean age 70.7 years) and 77,077 women (mean age 68.9 years), among whom 24,688 men and 18,933 women died during 13 years of follow-up (1999–2012), were used to compute multivariable-adjusted hazard rate ratios and 95% CIs for walking as the sole form of activity or adjusted for other moderate- or vigorous-intensity physical activity in relation to total and cause-speciﬁc mortality (data analysis 2015–2016).\nResults: Inactivity compared with walking only at less than recommended levels was associated with higher all-cause mortality (hazard rate ratio¼1.26, 95% CI¼1.21, 1.31). Meeting one to two times the recommendations through walking only was associated with lower all-cause mortality (hazard rate ratio¼0.80, 95% CI¼0.78, 0.83). Associations with walking adjusted for other moderate- or vigorous-intensity physical activity were similar to walking only. Walking was most strongly associated with respiratory disease mortality followed by cardiovascular disease mortality and then cancer mortality.\nConclusions: In older adults, walking below minimum recommended levels is associated with lower all-cause mortality compared with inactivity. Walking at or above physical activity recommendations is associated with even greater decreased risk. Walking is simple, free, and does not require any training, and thus is an ideal activity for most Americans, especially as they age.","container-title":"American Journal of Preventive Medicine","DOI":"10.1016/j.amepre.2017.08.019","ISSN":"07493797","issue":"1","journalAbbreviation":"American Journal of Preventive Medicine","language":"en","page":"10-19","source":"DOI.org (Crossref)","title":"Walking in Relation to Mortality in a Large Prospective Cohort of Older U.S. Adults","volume":"54","author":[{"family":"Patel","given":"Alpa V."},{"family":"Hildebrand","given":"Janet S."},{"family":"Leach","given":"Corinne R."},{"family":"Campbell","given":"Peter T."},{"family":"Doyle","given":"Colleen"},{"family":"Shuval","given":"Kerem"},{"family":"Wang","given":"Ying"},{"family":"Gapstur","given":"Susan M."}],"issued":{"date-parts":[["2018",1]]}}},{"id":976,"uris":["http://zotero.org/users/10132210/items/VZKGUYL3"],"itemData":{"id":976,"type":"article-journal","abstract":"Background: Physical activity is recommended to promote healthy aging. Defining the importance of activities such as walking in achieving higher levels of physical activity might provide indications for interventions.\nObjective: To describe the importance of walking in achieving higher levels of physical activity in older adults.\nMethods: The study included 42 healthy subjects aged between 51 and 84 years (mean body mass index 25.6 kg/m2 [SD 2.6]). Physical activity, walking, and nonwalking activity were monitored with an accelerometer for 2 weeks. Physical activity was quantified by accelerometer-derived activity counts. An algorithm based on template matching and signal power was developed to classify activity counts into nonwalking counts, short walk counts, and long walk counts. Additionally, in a subgroup of 31 subjects energy expenditure was measured using doubly labeled water to derive physical activity level (PAL).\nResults: Subjects had a mean PAL of 1.84 (SD 0.19, range 1.43-2.36). About 20% of the activity time (21% [SD 8]) was spent walking, which accounted for about 40% of the total counts (43% [SD 11]). Short bouts composed 83% (SD 9) of walking time, providing 81% (SD 11) of walking counts. A stepwise regression model to predict PAL included nonwalking counts and short walk counts, explaining 58% of the variance of PAL (standard error of the estimate=0.12). Walking activities produced more counts per minute than nonwalking activities (P&lt;.001). Long walks produced more counts per minute than short walks (P=.001). Nonwalking counts were independent of walking counts (r=−.05, P=.38).\nConclusions: Walking activities are a major contributor to physical activity in older adults. Walking activities occur at higher intensities than nonwalking activities, which might prevent individuals from engaging in more walking activity. Finally, subjects who engage in more walking activities do not tend to compensate by limiting nonwalking activities.","container-title":"JMIR mHealth and uHealth","DOI":"10.2196/mhealth.5445","ISSN":"2291-5222","issue":"2","journalAbbreviation":"JMIR mHealth uHealth","language":"en","page":"e56","source":"DOI.org (Crossref)","title":"Walking as a Contributor to Physical Activity in Healthy Older Adults: 2 Week Longitudinal Study Using Accelerometry and the Doubly Labeled Water Method","title-short":"Walking as a Contributor to Physical Activity in Healthy Older Adults","volume":"4","author":[{"family":"Valenti","given":"Giulio"},{"family":"Bonomi","given":"Alberto G"},{"family":"Westerterp","given":"Klaas R"}],"issued":{"date-parts":[["2016",6,7]]}}}],"schema":"https://github.com/citation-style-language/schema/raw/master/csl-citation.json"} </w:instrText>
      </w:r>
      <w:r w:rsidR="00942DB7" w:rsidRPr="00587212">
        <w:rPr>
          <w:rFonts w:ascii="Times New Roman" w:hAnsi="Times New Roman"/>
          <w:bCs/>
        </w:rPr>
        <w:fldChar w:fldCharType="separate"/>
      </w:r>
      <w:r w:rsidR="00942DB7" w:rsidRPr="00587212">
        <w:rPr>
          <w:rFonts w:ascii="Times New Roman" w:hAnsi="Times New Roman"/>
          <w:bCs/>
        </w:rPr>
        <w:t>(</w:t>
      </w:r>
      <w:r w:rsidR="00942DB7" w:rsidRPr="00587212">
        <w:rPr>
          <w:rFonts w:ascii="Times New Roman" w:eastAsiaTheme="minorEastAsia" w:hAnsi="Times New Roman" w:hint="eastAsia"/>
          <w:bCs/>
          <w:lang w:eastAsia="ko-KR"/>
        </w:rPr>
        <w:t xml:space="preserve">for example, </w:t>
      </w:r>
      <w:r w:rsidR="00942DB7" w:rsidRPr="00587212">
        <w:rPr>
          <w:rFonts w:ascii="Times New Roman" w:hAnsi="Times New Roman"/>
          <w:bCs/>
        </w:rPr>
        <w:t>Klenk et al., 2016</w:t>
      </w:r>
      <w:r w:rsidR="003123FA" w:rsidRPr="00587212">
        <w:rPr>
          <w:rFonts w:ascii="Times New Roman" w:eastAsiaTheme="minorEastAsia" w:hAnsi="Times New Roman"/>
          <w:bCs/>
          <w:lang w:eastAsia="ko-KR"/>
        </w:rPr>
        <w:t>,</w:t>
      </w:r>
      <w:r w:rsidR="00942DB7" w:rsidRPr="00587212">
        <w:rPr>
          <w:rFonts w:ascii="Times New Roman" w:hAnsi="Times New Roman"/>
          <w:bCs/>
        </w:rPr>
        <w:t xml:space="preserve"> </w:t>
      </w:r>
      <w:r w:rsidR="00435F79" w:rsidRPr="00587212">
        <w:rPr>
          <w:rFonts w:ascii="Times New Roman" w:hAnsi="Times New Roman"/>
          <w:bCs/>
        </w:rPr>
        <w:t xml:space="preserve">Valenti et al., 2016, and </w:t>
      </w:r>
      <w:r w:rsidR="00942DB7" w:rsidRPr="00587212">
        <w:rPr>
          <w:rFonts w:ascii="Times New Roman" w:hAnsi="Times New Roman"/>
          <w:bCs/>
        </w:rPr>
        <w:t>Patel et al., 2018)</w:t>
      </w:r>
      <w:r w:rsidR="00942DB7" w:rsidRPr="00587212">
        <w:rPr>
          <w:rFonts w:ascii="Times New Roman" w:hAnsi="Times New Roman"/>
          <w:bCs/>
        </w:rPr>
        <w:fldChar w:fldCharType="end"/>
      </w:r>
      <w:r w:rsidR="00BF4EDE" w:rsidRPr="00587212">
        <w:rPr>
          <w:rFonts w:ascii="Times New Roman" w:eastAsiaTheme="minorEastAsia" w:hAnsi="Times New Roman"/>
          <w:bCs/>
          <w:lang w:eastAsia="ko-KR"/>
        </w:rPr>
        <w:t xml:space="preserve">, </w:t>
      </w:r>
      <w:bookmarkEnd w:id="9"/>
      <w:r w:rsidR="00BF4EDE" w:rsidRPr="00587212">
        <w:rPr>
          <w:rFonts w:ascii="Times New Roman" w:eastAsiaTheme="minorEastAsia" w:hAnsi="Times New Roman"/>
          <w:bCs/>
          <w:lang w:eastAsia="ko-KR"/>
        </w:rPr>
        <w:t>without examining both aspects simultaneously.</w:t>
      </w:r>
    </w:p>
    <w:bookmarkEnd w:id="0"/>
    <w:p w14:paraId="5BF9D43F" w14:textId="1CEDEF45" w:rsidR="00DE252D" w:rsidRDefault="00F2413A" w:rsidP="003518AB">
      <w:pPr>
        <w:ind w:firstLine="720"/>
        <w:jc w:val="both"/>
        <w:rPr>
          <w:rFonts w:ascii="Times New Roman" w:hAnsi="Times New Roman"/>
          <w:bCs/>
        </w:rPr>
      </w:pPr>
      <w:r w:rsidRPr="00587212">
        <w:rPr>
          <w:rFonts w:ascii="Times New Roman" w:eastAsiaTheme="minorEastAsia" w:hAnsi="Times New Roman"/>
          <w:bCs/>
          <w:lang w:eastAsia="ko-KR"/>
        </w:rPr>
        <w:t xml:space="preserve">An additional walking dimension that has received some limited attention, albeit more in the </w:t>
      </w:r>
      <w:r w:rsidR="00083BB9" w:rsidRPr="00587212">
        <w:rPr>
          <w:rFonts w:ascii="Times New Roman" w:eastAsiaTheme="minorEastAsia" w:hAnsi="Times New Roman"/>
          <w:bCs/>
          <w:lang w:eastAsia="ko-KR"/>
        </w:rPr>
        <w:t xml:space="preserve">public </w:t>
      </w:r>
      <w:r w:rsidRPr="00587212">
        <w:rPr>
          <w:rFonts w:ascii="Times New Roman" w:eastAsiaTheme="minorEastAsia" w:hAnsi="Times New Roman"/>
          <w:bCs/>
          <w:lang w:eastAsia="ko-KR"/>
        </w:rPr>
        <w:t xml:space="preserve">health </w:t>
      </w:r>
      <w:r w:rsidR="00083BB9" w:rsidRPr="00587212">
        <w:rPr>
          <w:rFonts w:ascii="Times New Roman" w:eastAsiaTheme="minorEastAsia" w:hAnsi="Times New Roman"/>
          <w:bCs/>
          <w:lang w:eastAsia="ko-KR"/>
        </w:rPr>
        <w:t xml:space="preserve">and gerontology </w:t>
      </w:r>
      <w:r w:rsidRPr="00587212">
        <w:rPr>
          <w:rFonts w:ascii="Times New Roman" w:eastAsiaTheme="minorEastAsia" w:hAnsi="Times New Roman"/>
          <w:bCs/>
          <w:lang w:eastAsia="ko-KR"/>
        </w:rPr>
        <w:t>literature</w:t>
      </w:r>
      <w:r w:rsidR="00E63022" w:rsidRPr="00587212">
        <w:rPr>
          <w:rFonts w:ascii="Times New Roman" w:eastAsiaTheme="minorEastAsia" w:hAnsi="Times New Roman"/>
          <w:bCs/>
          <w:lang w:eastAsia="ko-KR"/>
        </w:rPr>
        <w:t xml:space="preserve"> rather than </w:t>
      </w:r>
      <w:r w:rsidRPr="00587212">
        <w:rPr>
          <w:rFonts w:ascii="Times New Roman" w:eastAsiaTheme="minorEastAsia" w:hAnsi="Times New Roman"/>
          <w:bCs/>
          <w:lang w:eastAsia="ko-KR"/>
        </w:rPr>
        <w:t xml:space="preserve">the transportation/urban planning literature, is whether a walking bout is undertaken alone or in company. </w:t>
      </w:r>
      <w:r w:rsidR="00BF4EDE" w:rsidRPr="00587212">
        <w:rPr>
          <w:rFonts w:ascii="Times New Roman" w:eastAsiaTheme="minorEastAsia" w:hAnsi="Times New Roman"/>
          <w:bCs/>
          <w:lang w:eastAsia="ko-KR"/>
        </w:rPr>
        <w:t xml:space="preserve">This </w:t>
      </w:r>
      <w:r w:rsidR="00083BB9" w:rsidRPr="00587212">
        <w:rPr>
          <w:rFonts w:ascii="Times New Roman" w:eastAsiaTheme="minorEastAsia" w:hAnsi="Times New Roman"/>
          <w:bCs/>
          <w:lang w:eastAsia="ko-KR"/>
        </w:rPr>
        <w:t xml:space="preserve">literature indicates </w:t>
      </w:r>
      <w:r w:rsidR="00BF4EDE" w:rsidRPr="00587212">
        <w:rPr>
          <w:rFonts w:ascii="Times New Roman" w:eastAsiaTheme="minorEastAsia" w:hAnsi="Times New Roman" w:hint="eastAsia"/>
          <w:bCs/>
          <w:lang w:eastAsia="ko-KR"/>
        </w:rPr>
        <w:t>that</w:t>
      </w:r>
      <w:r w:rsidR="00BF4EDE" w:rsidRPr="00587212">
        <w:rPr>
          <w:rFonts w:ascii="Times New Roman" w:eastAsiaTheme="minorEastAsia" w:hAnsi="Times New Roman"/>
          <w:bCs/>
          <w:lang w:eastAsia="ko-KR"/>
        </w:rPr>
        <w:t xml:space="preserve"> having a walking companion</w:t>
      </w:r>
      <w:r w:rsidR="00083BB9" w:rsidRPr="00587212">
        <w:rPr>
          <w:rFonts w:ascii="Times New Roman" w:eastAsiaTheme="minorEastAsia" w:hAnsi="Times New Roman"/>
          <w:bCs/>
          <w:lang w:eastAsia="ko-KR"/>
        </w:rPr>
        <w:t>, especially</w:t>
      </w:r>
      <w:r w:rsidR="00873780" w:rsidRPr="00587212">
        <w:rPr>
          <w:rFonts w:ascii="Times New Roman" w:eastAsiaTheme="minorEastAsia" w:hAnsi="Times New Roman"/>
          <w:bCs/>
          <w:lang w:eastAsia="ko-KR"/>
        </w:rPr>
        <w:t xml:space="preserve"> for</w:t>
      </w:r>
      <w:r w:rsidR="00083BB9" w:rsidRPr="00587212">
        <w:rPr>
          <w:rFonts w:ascii="Times New Roman" w:eastAsiaTheme="minorEastAsia" w:hAnsi="Times New Roman"/>
          <w:bCs/>
          <w:lang w:eastAsia="ko-KR"/>
        </w:rPr>
        <w:t xml:space="preserve"> older adults,</w:t>
      </w:r>
      <w:r w:rsidR="00BF4EDE" w:rsidRPr="00587212">
        <w:rPr>
          <w:rFonts w:ascii="Times New Roman" w:eastAsiaTheme="minorEastAsia" w:hAnsi="Times New Roman" w:hint="eastAsia"/>
          <w:bCs/>
          <w:lang w:eastAsia="ko-KR"/>
        </w:rPr>
        <w:t xml:space="preserve"> has</w:t>
      </w:r>
      <w:r w:rsidR="00BF4EDE" w:rsidRPr="00587212">
        <w:rPr>
          <w:rFonts w:ascii="Times New Roman" w:eastAsiaTheme="minorEastAsia" w:hAnsi="Times New Roman"/>
          <w:bCs/>
          <w:lang w:eastAsia="ko-KR"/>
        </w:rPr>
        <w:t xml:space="preserve"> a positive impact on </w:t>
      </w:r>
      <w:r w:rsidR="00BF4EDE" w:rsidRPr="00587212">
        <w:rPr>
          <w:rFonts w:ascii="Times New Roman" w:eastAsiaTheme="minorEastAsia" w:hAnsi="Times New Roman" w:hint="eastAsia"/>
          <w:bCs/>
          <w:lang w:eastAsia="ko-KR"/>
        </w:rPr>
        <w:t xml:space="preserve">mental well-being </w:t>
      </w:r>
      <w:r w:rsidR="00BF4EDE" w:rsidRPr="00587212">
        <w:rPr>
          <w:rFonts w:ascii="Times New Roman" w:eastAsiaTheme="minorEastAsia" w:hAnsi="Times New Roman"/>
          <w:bCs/>
          <w:lang w:eastAsia="ko-KR"/>
        </w:rPr>
        <w:fldChar w:fldCharType="begin"/>
      </w:r>
      <w:r w:rsidR="003123FA" w:rsidRPr="00587212">
        <w:rPr>
          <w:rFonts w:ascii="Times New Roman" w:eastAsiaTheme="minorEastAsia" w:hAnsi="Times New Roman"/>
          <w:bCs/>
          <w:lang w:eastAsia="ko-KR"/>
        </w:rPr>
        <w:instrText xml:space="preserve"> ADDIN ZOTERO_ITEM CSL_CITATION {"citationID":"E184Y9NR","properties":{"formattedCitation":"(Irvine et al., 2022; Kritz et al., 2021; Meads &amp; Exley, 2018)","plainCitation":"(Irvine et al., 2022; Kritz et al., 2021; Meads &amp; Exley, 2018)","dontUpdate":true,"noteIndex":0},"citationItems":[{"id":937,"uris":["http://zotero.org/users/10132210/items/XAED6U37"],"itemData":{"id":937,"type":"article-journal","abstract":"Physical distancing practices during the COVID-19 global pandemic contributed to a high degree of social isolation among older adults. To reduce loneliness and other ill effects of social isolation, public health experts recommended outdoor social gathering, with physical distancing. Adopting a case study approach, we explored how social aspects of group outdoor health walks (GOHWs) mitigate social isolation for older adults and improve individual social wellbeing. We used semi-structured interviews to understand the experiences of social isolation and social relationships in nine older (50–80 s) adults participating in a GOHW in Scotland, United Kingdom (UK). Verbatim transcripts were analysed through an iterative process of thematic analysis carried out by an interdisciplinary team of qualitative researchers from environmental psychology, medicine, and geography. Themes provide insight into the social dimensions of GOHWs, the mediating effects of social experiences, and the contribution these make to individual social wellbeing. GOHWs provide opportunities to be part of a group and attend to the needs of inexperienced or physically challenged individuals. Being part of the group walk fosters casual interpersonal interactions through spontaneous mixing during and after the walk. This programmatic structure counters loneliness, engenders pleasurable anticipation of regular contact with others, supports physical activity, and fosters group cohesion. These in turn contribute to individual social wellbeing, including expanding social networks, meaningful relationships, a sense of belonging, and acting on empathy for others. GOWHs may be beneﬁcial for mitigation of social isolation as we emerge from the COVID-19 pandemic. Findings were used to propose a conceptual model to parse social constructs and inform selection or development of quantitative social measures for future studies of nature-based interventions such as GOHWs.","container-title":"International Journal of Environmental Research and Public Health","DOI":"10.3390/ijerph19095353","ISSN":"1660-4601","issue":"9","journalAbbreviation":"IJERPH","language":"en","page":"5353","source":"DOI.org (Crossref)","title":"Social Isolation in Older Adults: A Qualitative Study on the Social Dimensions of Group Outdoor Health Walks","title-short":"Social Isolation in Older Adults","volume":"19","author":[{"family":"Irvine","given":"Katherine N."},{"family":"Fisher","given":"Daniel"},{"family":"Marselle","given":"Melissa R."},{"family":"Currie","given":"Margaret"},{"family":"Colley","given":"Kathryn"},{"family":"Warber","given":"Sara L."}],"issued":{"date-parts":[["2022",4,28]]}}},{"id":947,"uris":["http://zotero.org/users/10132210/items/9F5FSKLX"],"itemData":{"id":947,"type":"article-journal","abstract":"The authors examined whether purposeful walking with peers at least once a week contributes to better behavioral and health outcomes in older adults than primarily walking alone. The authors used a longitudinal cohort design and recruited participants aged 60 years and older (N = 136) at the start of a 16-week walking intervention. Participants who walked on average at least once a week in the ﬁnal 8 weeks of the intervention were included in the analysis (N = 79; 66 females, Mage [SD] = 77.73 [6.91]). The authors found that autonomous motivation, walking self-efﬁcacy, functional capacity, body fat, and physical activity improved more in the walking with peers group compared with the walking alone group, after controlling for whether participants lived alone/with others and their health status. The results extend current literature by providing longitudinal evidence for the added beneﬁts of regular peer-accompanied walking in older adults and highlight the importance of investing in peer-supported interventions.","container-title":"Journal of Aging and Physical Activity","DOI":"10.1123/japa.2020-0091","ISSN":"1063-8652, 1543-267X","issue":"3","language":"en","page":"455-465","source":"DOI.org (Crossref)","title":"“It’s Better Together”: A Nested Longitudinal Study Examining the Benefits of Walking Regularly With Peers Versus Primarily Alone in Older Adults","title-short":"“It’s Better Together”","volume":"29","author":[{"family":"Kritz","given":"Marlene"},{"family":"Thøgersen-Ntoumani","given":"Cecilie"},{"family":"Mullan","given":"Barbara"},{"family":"Stathi","given":"Afroditi"},{"family":"Ntoumanis","given":"Nikos"}],"issued":{"date-parts":[["2021",6,1]]}}},{"id":1112,"uris":["http://zotero.org/users/10132210/items/SRAJCT5X"],"itemData":{"id":1112,"type":"article-journal","abstract":"Background: Walking is a good way to meet physical activity guidelines. We examined the effectiveness of walking in groups compared with walking alone or inactive controls in physically healthy adults on physical activity and quality of life. (PROSPERO CRD42016033752). Methods: We searched Medline, Embase, Cinahl, Web of Knowledge Science Citation Index, and Cochrane CENTRAL until March 2016, for any comparative studies, in physically healthy adults, of walking in groups compared with inactive controls or walking alone, reporting any measure of physical activity. We searched references from recent relevant systematic reviews. Two reviewers checked study eligibility and independently extracted data. Disagreements were resolved through discussion. Quality was assessed using likelihood of selection, performance, attrition, and detection biases. Meta-analysis was conducted using Review Manager 5.3. Results: From 1,404 citations, 18 studies were included in qualitative synthesis and 10 in meta-analyses. Fourteen compared group walking to inactive controls and four to walking alone. Eight reported more than one measure of physical activity, none reported according to current guidelines. Group walking compared with inactive controls increased follow-up physical activity (9 randomized controlled trials, standardized mean difference [SMD] 0.58 [95 percent conﬁdence interval {CI}, 0.34–0.82] to SMD 0.43 [95 percent CI, 0.20–0.66]). Compared with walking alone, studies were too few and too heterogeneous to conduct meta-analysis, but the trend was improved physical activity at follow-up for group walking participants. Seven (all inactive control) reported quality-of-life: ﬁve showed statistically signiﬁcantly improved scores. Discussion: Better evidence may encourage government policy to promote walking in groups. Standardized physical activity outcomes need to be reported in research.","container-title":"International Journal of Technology Assessment in Health Care","DOI":"10.1017/S0266462317001088","ISSN":"0266-4623, 1471-6348","issue":"1","journalAbbreviation":"Int J Technol Assess Health Care","language":"en","license":"https://www.cambridge.org/core/terms","page":"27-37","source":"DOI.org (Crossref)","title":"A Systematic Review of Group Walking in Physically Healthy People to Promote Physical Activity","volume":"34","author":[{"family":"Meads","given":"Catherine"},{"family":"Exley","given":"Josephine"}],"issued":{"date-parts":[["2018"]]}}}],"schema":"https://github.com/citation-style-language/schema/raw/master/csl-citation.json"} </w:instrText>
      </w:r>
      <w:r w:rsidR="00BF4EDE" w:rsidRPr="00587212">
        <w:rPr>
          <w:rFonts w:ascii="Times New Roman" w:eastAsiaTheme="minorEastAsia" w:hAnsi="Times New Roman"/>
          <w:bCs/>
          <w:lang w:eastAsia="ko-KR"/>
        </w:rPr>
        <w:fldChar w:fldCharType="separate"/>
      </w:r>
      <w:r w:rsidR="00BF4EDE" w:rsidRPr="00587212">
        <w:rPr>
          <w:rFonts w:ascii="Times New Roman" w:hAnsi="Times New Roman"/>
        </w:rPr>
        <w:t>(</w:t>
      </w:r>
      <w:bookmarkStart w:id="10" w:name="_Hlk169959922"/>
      <w:r w:rsidR="00BF4EDE" w:rsidRPr="00587212">
        <w:rPr>
          <w:rFonts w:ascii="Times New Roman" w:hAnsi="Times New Roman"/>
        </w:rPr>
        <w:t xml:space="preserve">see </w:t>
      </w:r>
      <w:r w:rsidR="00BF4EDE" w:rsidRPr="00587212">
        <w:rPr>
          <w:rFonts w:ascii="Times New Roman" w:hAnsi="Times New Roman"/>
        </w:rPr>
        <w:lastRenderedPageBreak/>
        <w:t>Kritz et al., 2021</w:t>
      </w:r>
      <w:r w:rsidR="00435F79" w:rsidRPr="00587212">
        <w:rPr>
          <w:rFonts w:ascii="Times New Roman" w:hAnsi="Times New Roman"/>
        </w:rPr>
        <w:t>, and Irvine et al., 2022</w:t>
      </w:r>
      <w:r w:rsidR="00BF4EDE" w:rsidRPr="00587212">
        <w:rPr>
          <w:rFonts w:ascii="Times New Roman" w:hAnsi="Times New Roman"/>
        </w:rPr>
        <w:t>)</w:t>
      </w:r>
      <w:bookmarkEnd w:id="10"/>
      <w:r w:rsidR="00BF4EDE" w:rsidRPr="00587212">
        <w:rPr>
          <w:rFonts w:ascii="Times New Roman" w:eastAsiaTheme="minorEastAsia" w:hAnsi="Times New Roman"/>
          <w:bCs/>
          <w:lang w:eastAsia="ko-KR"/>
        </w:rPr>
        <w:fldChar w:fldCharType="end"/>
      </w:r>
      <w:r w:rsidR="00BF4EDE" w:rsidRPr="00587212">
        <w:rPr>
          <w:rFonts w:ascii="Times New Roman" w:eastAsiaTheme="minorEastAsia" w:hAnsi="Times New Roman" w:hint="eastAsia"/>
          <w:bCs/>
          <w:lang w:eastAsia="ko-KR"/>
        </w:rPr>
        <w:t xml:space="preserve"> and provides motivation to maintain</w:t>
      </w:r>
      <w:r w:rsidR="00BF4EDE" w:rsidRPr="00587212">
        <w:rPr>
          <w:rFonts w:ascii="Times New Roman" w:hAnsi="Times New Roman"/>
          <w:bCs/>
        </w:rPr>
        <w:t xml:space="preserve"> a sustained walking routine </w:t>
      </w:r>
      <w:bookmarkStart w:id="11" w:name="_Hlk169959954"/>
      <w:r w:rsidR="00BF4EDE" w:rsidRPr="00587212">
        <w:rPr>
          <w:rFonts w:ascii="Times New Roman" w:hAnsi="Times New Roman"/>
          <w:bCs/>
        </w:rPr>
        <w:fldChar w:fldCharType="begin"/>
      </w:r>
      <w:r w:rsidR="003123FA" w:rsidRPr="00587212">
        <w:rPr>
          <w:rFonts w:ascii="Times New Roman" w:hAnsi="Times New Roman"/>
          <w:bCs/>
        </w:rPr>
        <w:instrText xml:space="preserve"> ADDIN ZOTERO_ITEM CSL_CITATION {"citationID":"nBpZxRXu","properties":{"formattedCitation":"(Irvine et al., 2022; Kritz et al., 2021; Kubota et al., 2020; Leung et al., 2018)","plainCitation":"(Irvine et al., 2022; Kritz et al., 2021; Kubota et al., 2020; Leung et al., 2018)","dontUpdate":true,"noteIndex":0},"citationItems":[{"id":937,"uris":["http://zotero.org/users/10132210/items/XAED6U37"],"itemData":{"id":937,"type":"article-journal","abstract":"Physical distancing practices during the COVID-19 global pandemic contributed to a high degree of social isolation among older adults. To reduce loneliness and other ill effects of social isolation, public health experts recommended outdoor social gathering, with physical distancing. Adopting a case study approach, we explored how social aspects of group outdoor health walks (GOHWs) mitigate social isolation for older adults and improve individual social wellbeing. We used semi-structured interviews to understand the experiences of social isolation and social relationships in nine older (50–80 s) adults participating in a GOHW in Scotland, United Kingdom (UK). Verbatim transcripts were analysed through an iterative process of thematic analysis carried out by an interdisciplinary team of qualitative researchers from environmental psychology, medicine, and geography. Themes provide insight into the social dimensions of GOHWs, the mediating effects of social experiences, and the contribution these make to individual social wellbeing. GOHWs provide opportunities to be part of a group and attend to the needs of inexperienced or physically challenged individuals. Being part of the group walk fosters casual interpersonal interactions through spontaneous mixing during and after the walk. This programmatic structure counters loneliness, engenders pleasurable anticipation of regular contact with others, supports physical activity, and fosters group cohesion. These in turn contribute to individual social wellbeing, including expanding social networks, meaningful relationships, a sense of belonging, and acting on empathy for others. GOWHs may be beneﬁcial for mitigation of social isolation as we emerge from the COVID-19 pandemic. Findings were used to propose a conceptual model to parse social constructs and inform selection or development of quantitative social measures for future studies of nature-based interventions such as GOHWs.","container-title":"International Journal of Environmental Research and Public Health","DOI":"10.3390/ijerph19095353","ISSN":"1660-4601","issue":"9","journalAbbreviation":"IJERPH","language":"en","page":"5353","source":"DOI.org (Crossref)","title":"Social Isolation in Older Adults: A Qualitative Study on the Social Dimensions of Group Outdoor Health Walks","title-short":"Social Isolation in Older Adults","volume":"19","author":[{"family":"Irvine","given":"Katherine N."},{"family":"Fisher","given":"Daniel"},{"family":"Marselle","given":"Melissa R."},{"family":"Currie","given":"Margaret"},{"family":"Colley","given":"Kathryn"},{"family":"Warber","given":"Sara L."}],"issued":{"date-parts":[["2022",4,28]]}}},{"id":947,"uris":["http://zotero.org/users/10132210/items/9F5FSKLX"],"itemData":{"id":947,"type":"article-journal","abstract":"The authors examined whether purposeful walking with peers at least once a week contributes to better behavioral and health outcomes in older adults than primarily walking alone. The authors used a longitudinal cohort design and recruited participants aged 60 years and older (N = 136) at the start of a 16-week walking intervention. Participants who walked on average at least once a week in the ﬁnal 8 weeks of the intervention were included in the analysis (N = 79; 66 females, Mage [SD] = 77.73 [6.91]). The authors found that autonomous motivation, walking self-efﬁcacy, functional capacity, body fat, and physical activity improved more in the walking with peers group compared with the walking alone group, after controlling for whether participants lived alone/with others and their health status. The results extend current literature by providing longitudinal evidence for the added beneﬁts of regular peer-accompanied walking in older adults and highlight the importance of investing in peer-supported interventions.","container-title":"Journal of Aging and Physical Activity","DOI":"10.1123/japa.2020-0091","ISSN":"1063-8652, 1543-267X","issue":"3","language":"en","page":"455-465","source":"DOI.org (Crossref)","title":"“It’s Better Together”: A Nested Longitudinal Study Examining the Benefits of Walking Regularly With Peers Versus Primarily Alone in Older Adults","title-short":"“It’s Better Together”","volume":"29","author":[{"family":"Kritz","given":"Marlene"},{"family":"Thøgersen-Ntoumani","given":"Cecilie"},{"family":"Mullan","given":"Barbara"},{"family":"Stathi","given":"Afroditi"},{"family":"Ntoumanis","given":"Nikos"}],"issued":{"date-parts":[["2021",6,1]]}}},{"id":944,"uris":["http://zotero.org/users/10132210/items/9YXBSFAZ"],"itemData":{"id":944,"type":"article-journal","abstract":"This cross-sectional study examined associations of local social engagement with walking and sitting, and whether these associations were modiﬁed by local environmental attributes. Older residents (aged 65–84 years, n = 849), recruited from a regional city in Japan, reported walking frequency, sitting time, local social engagement, and local environmental attributes. Walk Score® was also used as an environmental measure. Analysis of data from 705 participants found that engaging in community activities was signiﬁcantly associated with more frequent walking, but not with prolonged sitting. Interaction analyses between social engagement and environmental attributes did not show any signiﬁcant interactions, suggesting that promoting local social engagement may increase walking frequency among older adults, regardless of local environmental characteristics. Community-level social initiatives that encourage older adults to participate in local meetings, events, and activities may be an effective physical activity promotion strategy among older adults.","container-title":"Journal of Aging and Physical Activity","DOI":"10.1123/japa.2018-0321","ISSN":"1063-8652, 1543-267X","issue":"2","language":"en","page":"187-193","source":"DOI.org (Crossref)","title":"Associations of Local Social Engagement and Environmental Attributes With Walking and Sitting Among Japanese Older Adults","volume":"28","author":[{"family":"Kubota","given":"Akio"},{"family":"Carver","given":"Alison"},{"family":"Sugiyama","given":"Takemi"}],"issued":{"date-parts":[["2020",4,1]]}}},{"id":952,"uris":["http://zotero.org/users/10132210/items/RYUPRNEU"],"itemData":{"id":952,"type":"article-journal","abstract":"Introduction: This study examined the associations between physical environment (facilitators and barriers), social environment, and walking among older adults in Hong Kong. Methods: Between April and December 2016, a sample of 679 adults aged 65 years or above was recruited in Neighbourhood Elderly Centres from across the 18 council districts of Hong Kong. Participants were asked to complete validated questionnaires that were used to assess the above constructs; participants were asked to track their daily step counts over 7 days using an accelerometer. Structural Equation Modelling was performed to examine the studied relationships by using maximum likelihood estimation in LISREL 9.3.","container-title":"Journal of Transport &amp; Health","DOI":"10.1016/j.jth.2018.03.002","ISSN":"22141405","journalAbbreviation":"Journal of Transport &amp; Health","language":"en","page":"299-308","source":"DOI.org (Crossref)","title":"Impact of physical and social environments on the walking behaviour of Hong Kong's older adults","volume":"9","author":[{"family":"Leung","given":"Ka Man"},{"family":"Chung","given":"Pak-Kwong"},{"family":"Wang","given":"Donggen"},{"family":"Liu","given":"Jing Dong"}],"issued":{"date-parts":[["2018",6]]}}}],"schema":"https://github.com/citation-style-language/schema/raw/master/csl-citation.json"} </w:instrText>
      </w:r>
      <w:r w:rsidR="00BF4EDE" w:rsidRPr="00587212">
        <w:rPr>
          <w:rFonts w:ascii="Times New Roman" w:hAnsi="Times New Roman"/>
          <w:bCs/>
        </w:rPr>
        <w:fldChar w:fldCharType="separate"/>
      </w:r>
      <w:r w:rsidR="00BF4EDE" w:rsidRPr="00587212">
        <w:rPr>
          <w:rFonts w:ascii="Times New Roman" w:hAnsi="Times New Roman"/>
          <w:bCs/>
        </w:rPr>
        <w:t>(</w:t>
      </w:r>
      <w:r w:rsidR="003123FA" w:rsidRPr="00587212">
        <w:rPr>
          <w:rFonts w:ascii="Times New Roman" w:eastAsiaTheme="minorEastAsia" w:hAnsi="Times New Roman"/>
          <w:bCs/>
          <w:lang w:eastAsia="ko-KR"/>
        </w:rPr>
        <w:t>see</w:t>
      </w:r>
      <w:r w:rsidR="00BF4EDE" w:rsidRPr="00587212">
        <w:rPr>
          <w:rFonts w:ascii="Times New Roman" w:hAnsi="Times New Roman"/>
          <w:bCs/>
        </w:rPr>
        <w:t>,</w:t>
      </w:r>
      <w:r w:rsidR="003123FA" w:rsidRPr="00587212">
        <w:rPr>
          <w:rFonts w:ascii="Times New Roman" w:eastAsiaTheme="minorEastAsia" w:hAnsi="Times New Roman"/>
          <w:bCs/>
          <w:lang w:eastAsia="ko-KR"/>
        </w:rPr>
        <w:t xml:space="preserve"> </w:t>
      </w:r>
      <w:r w:rsidR="00BF4EDE" w:rsidRPr="00587212">
        <w:rPr>
          <w:rFonts w:ascii="Times New Roman" w:hAnsi="Times New Roman"/>
          <w:bCs/>
        </w:rPr>
        <w:t>Leung et al., 2018</w:t>
      </w:r>
      <w:r w:rsidR="00435F79" w:rsidRPr="00587212">
        <w:rPr>
          <w:rFonts w:ascii="Times New Roman" w:hAnsi="Times New Roman"/>
          <w:bCs/>
        </w:rPr>
        <w:t>, Kubota et al., 2020, Kritz et al., 2021, and Irvine et al., 2022</w:t>
      </w:r>
      <w:r w:rsidR="00BF4EDE" w:rsidRPr="00587212">
        <w:rPr>
          <w:rFonts w:ascii="Times New Roman" w:hAnsi="Times New Roman"/>
          <w:bCs/>
        </w:rPr>
        <w:t>)</w:t>
      </w:r>
      <w:r w:rsidR="00BF4EDE" w:rsidRPr="00587212">
        <w:rPr>
          <w:rFonts w:ascii="Times New Roman" w:hAnsi="Times New Roman"/>
          <w:bCs/>
        </w:rPr>
        <w:fldChar w:fldCharType="end"/>
      </w:r>
      <w:r w:rsidR="00083BB9" w:rsidRPr="00587212">
        <w:rPr>
          <w:rFonts w:ascii="Times New Roman" w:eastAsiaTheme="minorEastAsia" w:hAnsi="Times New Roman"/>
          <w:bCs/>
          <w:lang w:eastAsia="ko-KR"/>
        </w:rPr>
        <w:t xml:space="preserve">. </w:t>
      </w:r>
      <w:r w:rsidR="00BF4EDE" w:rsidRPr="00587212">
        <w:rPr>
          <w:rFonts w:ascii="Times New Roman" w:eastAsiaTheme="minorEastAsia" w:hAnsi="Times New Roman" w:hint="eastAsia"/>
          <w:bCs/>
          <w:lang w:eastAsia="ko-KR"/>
        </w:rPr>
        <w:t xml:space="preserve"> </w:t>
      </w:r>
      <w:bookmarkEnd w:id="11"/>
      <w:r w:rsidR="00083BB9" w:rsidRPr="00587212">
        <w:rPr>
          <w:rFonts w:ascii="Times New Roman" w:eastAsiaTheme="minorEastAsia" w:hAnsi="Times New Roman"/>
          <w:bCs/>
          <w:lang w:eastAsia="ko-KR"/>
        </w:rPr>
        <w:t xml:space="preserve">Thus, relative to walking alone, walking in social company can </w:t>
      </w:r>
      <w:r w:rsidR="00BF4EDE" w:rsidRPr="00587212">
        <w:rPr>
          <w:rFonts w:ascii="Times New Roman" w:eastAsiaTheme="minorEastAsia" w:hAnsi="Times New Roman"/>
          <w:bCs/>
          <w:lang w:eastAsia="ko-KR"/>
        </w:rPr>
        <w:t>influence</w:t>
      </w:r>
      <w:r w:rsidR="00BF4EDE" w:rsidRPr="00587212">
        <w:rPr>
          <w:rFonts w:ascii="Times New Roman" w:eastAsiaTheme="minorEastAsia" w:hAnsi="Times New Roman" w:hint="eastAsia"/>
          <w:bCs/>
          <w:lang w:eastAsia="ko-KR"/>
        </w:rPr>
        <w:t xml:space="preserve"> </w:t>
      </w:r>
      <w:r w:rsidR="00083BB9" w:rsidRPr="00587212">
        <w:rPr>
          <w:rFonts w:ascii="Times New Roman" w:eastAsiaTheme="minorEastAsia" w:hAnsi="Times New Roman"/>
          <w:bCs/>
          <w:lang w:eastAsia="ko-KR"/>
        </w:rPr>
        <w:t xml:space="preserve">walking bout </w:t>
      </w:r>
      <w:r w:rsidR="00873780" w:rsidRPr="00587212">
        <w:rPr>
          <w:rFonts w:ascii="Times New Roman" w:eastAsiaTheme="minorEastAsia" w:hAnsi="Times New Roman"/>
          <w:bCs/>
          <w:lang w:eastAsia="ko-KR"/>
        </w:rPr>
        <w:t xml:space="preserve">frequency </w:t>
      </w:r>
      <w:r w:rsidR="00083BB9" w:rsidRPr="00587212">
        <w:rPr>
          <w:rFonts w:ascii="Times New Roman" w:eastAsiaTheme="minorEastAsia" w:hAnsi="Times New Roman"/>
          <w:bCs/>
          <w:lang w:eastAsia="ko-KR"/>
        </w:rPr>
        <w:t xml:space="preserve">and duration, as well as </w:t>
      </w:r>
      <w:r w:rsidR="00873780" w:rsidRPr="00587212">
        <w:rPr>
          <w:rFonts w:ascii="Times New Roman" w:eastAsiaTheme="minorEastAsia" w:hAnsi="Times New Roman"/>
          <w:bCs/>
          <w:lang w:eastAsia="ko-KR"/>
        </w:rPr>
        <w:t xml:space="preserve">enhance </w:t>
      </w:r>
      <w:r w:rsidR="00083BB9" w:rsidRPr="00587212">
        <w:rPr>
          <w:rFonts w:ascii="Times New Roman" w:eastAsiaTheme="minorEastAsia" w:hAnsi="Times New Roman"/>
          <w:bCs/>
          <w:lang w:eastAsia="ko-KR"/>
        </w:rPr>
        <w:t>quality-of-life benefits</w:t>
      </w:r>
      <w:r w:rsidR="00900312" w:rsidRPr="00587212">
        <w:rPr>
          <w:rFonts w:ascii="Times New Roman" w:eastAsiaTheme="minorEastAsia" w:hAnsi="Times New Roman" w:hint="eastAsia"/>
          <w:bCs/>
          <w:lang w:eastAsia="ko-KR"/>
        </w:rPr>
        <w:t xml:space="preserve"> </w:t>
      </w:r>
      <w:bookmarkStart w:id="12" w:name="_Hlk169959988"/>
      <w:r w:rsidR="00900312" w:rsidRPr="00587212">
        <w:rPr>
          <w:rFonts w:ascii="Times New Roman" w:eastAsiaTheme="minorEastAsia" w:hAnsi="Times New Roman"/>
          <w:bCs/>
          <w:lang w:eastAsia="ko-KR"/>
        </w:rPr>
        <w:fldChar w:fldCharType="begin"/>
      </w:r>
      <w:r w:rsidR="00714083" w:rsidRPr="00587212">
        <w:rPr>
          <w:rFonts w:ascii="Times New Roman" w:eastAsiaTheme="minorEastAsia" w:hAnsi="Times New Roman"/>
          <w:bCs/>
          <w:lang w:eastAsia="ko-KR"/>
        </w:rPr>
        <w:instrText xml:space="preserve"> ADDIN ZOTERO_ITEM CSL_CITATION {"citationID":"xc5sTnOe","properties":{"formattedCitation":"(Meads &amp; Exley, 2018)","plainCitation":"(Meads &amp; Exley, 2018)","dontUpdate":true,"noteIndex":0},"citationItems":[{"id":1112,"uris":["http://zotero.org/users/10132210/items/SRAJCT5X"],"itemData":{"id":1112,"type":"article-journal","abstract":"Background: Walking is a good way to meet physical activity guidelines. We examined the effectiveness of walking in groups compared with walking alone or inactive controls in physically healthy adults on physical activity and quality of life. (PROSPERO CRD42016033752). Methods: We searched Medline, Embase, Cinahl, Web of Knowledge Science Citation Index, and Cochrane CENTRAL until March 2016, for any comparative studies, in physically healthy adults, of walking in groups compared with inactive controls or walking alone, reporting any measure of physical activity. We searched references from recent relevant systematic reviews. Two reviewers checked study eligibility and independently extracted data. Disagreements were resolved through discussion. Quality was assessed using likelihood of selection, performance, attrition, and detection biases. Meta-analysis was conducted using Review Manager 5.3. Results: From 1,404 citations, 18 studies were included in qualitative synthesis and 10 in meta-analyses. Fourteen compared group walking to inactive controls and four to walking alone. Eight reported more than one measure of physical activity, none reported according to current guidelines. Group walking compared with inactive controls increased follow-up physical activity (9 randomized controlled trials, standardized mean difference [SMD] 0.58 [95 percent conﬁdence interval {CI}, 0.34–0.82] to SMD 0.43 [95 percent CI, 0.20–0.66]). Compared with walking alone, studies were too few and too heterogeneous to conduct meta-analysis, but the trend was improved physical activity at follow-up for group walking participants. Seven (all inactive control) reported quality-of-life: ﬁve showed statistically signiﬁcantly improved scores. Discussion: Better evidence may encourage government policy to promote walking in groups. Standardized physical activity outcomes need to be reported in research.","container-title":"International Journal of Technology Assessment in Health Care","DOI":"10.1017/S0266462317001088","ISSN":"0266-4623, 1471-6348","issue":"1","journalAbbreviation":"Int J Technol Assess Health Care","language":"en","license":"https://www.cambridge.org/core/terms","page":"27-37","source":"DOI.org (Crossref)","title":"A Systematic Review of Group Walking in Physically Healthy People to Promote Physical Activity","volume":"34","author":[{"family":"Meads","given":"Catherine"},{"family":"Exley","given":"Josephine"}],"issued":{"date-parts":[["2018"]]}}}],"schema":"https://github.com/citation-style-language/schema/raw/master/csl-citation.json"} </w:instrText>
      </w:r>
      <w:r w:rsidR="00900312" w:rsidRPr="00587212">
        <w:rPr>
          <w:rFonts w:ascii="Times New Roman" w:eastAsiaTheme="minorEastAsia" w:hAnsi="Times New Roman"/>
          <w:bCs/>
          <w:lang w:eastAsia="ko-KR"/>
        </w:rPr>
        <w:fldChar w:fldCharType="separate"/>
      </w:r>
      <w:r w:rsidR="00900312" w:rsidRPr="00587212">
        <w:rPr>
          <w:rFonts w:ascii="Times New Roman" w:hAnsi="Times New Roman"/>
        </w:rPr>
        <w:t xml:space="preserve">(Meads </w:t>
      </w:r>
      <w:r w:rsidR="00991B0B" w:rsidRPr="00587212">
        <w:rPr>
          <w:rFonts w:ascii="Times New Roman" w:eastAsiaTheme="minorEastAsia" w:hAnsi="Times New Roman"/>
          <w:lang w:eastAsia="ko-KR"/>
        </w:rPr>
        <w:t>and</w:t>
      </w:r>
      <w:r w:rsidR="00900312" w:rsidRPr="00587212">
        <w:rPr>
          <w:rFonts w:ascii="Times New Roman" w:hAnsi="Times New Roman"/>
        </w:rPr>
        <w:t xml:space="preserve"> Exley, 2018)</w:t>
      </w:r>
      <w:r w:rsidR="00900312" w:rsidRPr="00587212">
        <w:rPr>
          <w:rFonts w:ascii="Times New Roman" w:eastAsiaTheme="minorEastAsia" w:hAnsi="Times New Roman"/>
          <w:bCs/>
          <w:lang w:eastAsia="ko-KR"/>
        </w:rPr>
        <w:fldChar w:fldCharType="end"/>
      </w:r>
      <w:r w:rsidR="00083BB9" w:rsidRPr="00587212">
        <w:rPr>
          <w:rFonts w:ascii="Times New Roman" w:hAnsi="Times New Roman"/>
        </w:rPr>
        <w:t xml:space="preserve">. </w:t>
      </w:r>
      <w:bookmarkEnd w:id="12"/>
      <w:r w:rsidR="00873780" w:rsidRPr="00587212">
        <w:rPr>
          <w:rFonts w:ascii="Times New Roman" w:eastAsiaTheme="minorEastAsia" w:hAnsi="Times New Roman"/>
          <w:bCs/>
          <w:lang w:eastAsia="ko-KR"/>
        </w:rPr>
        <w:t>Consequently</w:t>
      </w:r>
      <w:r w:rsidR="00BF4EDE" w:rsidRPr="00587212">
        <w:rPr>
          <w:rFonts w:ascii="Times New Roman" w:eastAsiaTheme="minorEastAsia" w:hAnsi="Times New Roman" w:hint="eastAsia"/>
          <w:bCs/>
          <w:lang w:eastAsia="ko-KR"/>
        </w:rPr>
        <w:t>, a</w:t>
      </w:r>
      <w:r w:rsidR="00BF4EDE" w:rsidRPr="00587212">
        <w:rPr>
          <w:rFonts w:ascii="Times New Roman" w:hAnsi="Times New Roman"/>
          <w:bCs/>
        </w:rPr>
        <w:t xml:space="preserve"> comprehensive understanding of walking habits</w:t>
      </w:r>
      <w:r w:rsidR="00BF4EDE" w:rsidRPr="00587212">
        <w:rPr>
          <w:rFonts w:ascii="Times New Roman" w:eastAsiaTheme="minorEastAsia" w:hAnsi="Times New Roman" w:hint="eastAsia"/>
          <w:bCs/>
          <w:lang w:eastAsia="ko-KR"/>
        </w:rPr>
        <w:t xml:space="preserve">, </w:t>
      </w:r>
      <w:r w:rsidR="00CC50D9" w:rsidRPr="00587212">
        <w:rPr>
          <w:rFonts w:ascii="Times New Roman" w:eastAsiaTheme="minorEastAsia" w:hAnsi="Times New Roman"/>
          <w:bCs/>
          <w:lang w:eastAsia="ko-KR"/>
        </w:rPr>
        <w:t>especially</w:t>
      </w:r>
      <w:r w:rsidR="00083BB9" w:rsidRPr="00587212">
        <w:rPr>
          <w:rFonts w:ascii="Times New Roman" w:eastAsiaTheme="minorEastAsia" w:hAnsi="Times New Roman"/>
          <w:bCs/>
          <w:lang w:eastAsia="ko-KR"/>
        </w:rPr>
        <w:t xml:space="preserve"> the interplay among the three dimensions of </w:t>
      </w:r>
      <w:r w:rsidR="00BF4EDE" w:rsidRPr="00587212">
        <w:rPr>
          <w:rFonts w:ascii="Times New Roman" w:hAnsi="Times New Roman"/>
          <w:bCs/>
        </w:rPr>
        <w:t>frequency, duration, and companionship</w:t>
      </w:r>
      <w:r w:rsidR="00BF4EDE" w:rsidRPr="00587212">
        <w:rPr>
          <w:rFonts w:ascii="Times New Roman" w:eastAsiaTheme="minorEastAsia" w:hAnsi="Times New Roman" w:hint="eastAsia"/>
          <w:bCs/>
          <w:lang w:eastAsia="ko-KR"/>
        </w:rPr>
        <w:t xml:space="preserve">, </w:t>
      </w:r>
      <w:r w:rsidR="00C31ADF" w:rsidRPr="00587212">
        <w:rPr>
          <w:rFonts w:ascii="Times New Roman" w:hAnsi="Times New Roman"/>
          <w:bCs/>
        </w:rPr>
        <w:t>would be</w:t>
      </w:r>
      <w:r w:rsidR="00BF4EDE" w:rsidRPr="00587212">
        <w:rPr>
          <w:rFonts w:ascii="Times New Roman" w:hAnsi="Times New Roman"/>
          <w:bCs/>
        </w:rPr>
        <w:t xml:space="preserve"> </w:t>
      </w:r>
      <w:r w:rsidR="00083BB9" w:rsidRPr="00587212">
        <w:rPr>
          <w:rFonts w:ascii="Times New Roman" w:hAnsi="Times New Roman"/>
          <w:bCs/>
        </w:rPr>
        <w:t>beneficial</w:t>
      </w:r>
      <w:r w:rsidR="00873780" w:rsidRPr="00587212">
        <w:rPr>
          <w:rFonts w:ascii="Times New Roman" w:hAnsi="Times New Roman"/>
          <w:bCs/>
        </w:rPr>
        <w:t>,</w:t>
      </w:r>
      <w:r w:rsidR="00083BB9" w:rsidRPr="00587212">
        <w:rPr>
          <w:rFonts w:ascii="Times New Roman" w:hAnsi="Times New Roman"/>
          <w:bCs/>
        </w:rPr>
        <w:t xml:space="preserve"> </w:t>
      </w:r>
      <w:r w:rsidR="00CC50D9" w:rsidRPr="00587212">
        <w:rPr>
          <w:rFonts w:ascii="Times New Roman" w:hAnsi="Times New Roman"/>
          <w:bCs/>
        </w:rPr>
        <w:t xml:space="preserve">particularly </w:t>
      </w:r>
      <w:r w:rsidR="00BF4EDE" w:rsidRPr="00587212">
        <w:rPr>
          <w:rFonts w:ascii="Times New Roman" w:hAnsi="Times New Roman"/>
          <w:bCs/>
        </w:rPr>
        <w:t>in the wake of the COVID-19 pandemic</w:t>
      </w:r>
      <w:r w:rsidR="00873780" w:rsidRPr="00587212">
        <w:rPr>
          <w:rFonts w:ascii="Times New Roman" w:hAnsi="Times New Roman"/>
          <w:bCs/>
        </w:rPr>
        <w:t xml:space="preserve"> that </w:t>
      </w:r>
      <w:r w:rsidR="00BF4EDE" w:rsidRPr="00587212">
        <w:rPr>
          <w:rFonts w:ascii="Times New Roman" w:hAnsi="Times New Roman"/>
          <w:bCs/>
        </w:rPr>
        <w:t xml:space="preserve">has brought about significant </w:t>
      </w:r>
      <w:r w:rsidR="00CC50D9" w:rsidRPr="00587212">
        <w:rPr>
          <w:rFonts w:ascii="Times New Roman" w:hAnsi="Times New Roman"/>
          <w:bCs/>
        </w:rPr>
        <w:t xml:space="preserve">declines </w:t>
      </w:r>
      <w:r w:rsidR="00BF4EDE" w:rsidRPr="00587212">
        <w:rPr>
          <w:rFonts w:ascii="Times New Roman" w:hAnsi="Times New Roman"/>
          <w:bCs/>
        </w:rPr>
        <w:t xml:space="preserve">in walking </w:t>
      </w:r>
      <w:r w:rsidR="00873780" w:rsidRPr="00587212">
        <w:rPr>
          <w:rFonts w:ascii="Times New Roman" w:hAnsi="Times New Roman"/>
          <w:bCs/>
        </w:rPr>
        <w:t>among</w:t>
      </w:r>
      <w:r w:rsidR="00CC50D9" w:rsidRPr="00587212">
        <w:rPr>
          <w:rFonts w:ascii="Times New Roman" w:hAnsi="Times New Roman"/>
          <w:bCs/>
        </w:rPr>
        <w:t xml:space="preserve"> </w:t>
      </w:r>
      <w:r w:rsidR="00BF4EDE" w:rsidRPr="00587212">
        <w:rPr>
          <w:rFonts w:ascii="Times New Roman" w:hAnsi="Times New Roman"/>
          <w:bCs/>
        </w:rPr>
        <w:t>older adults</w:t>
      </w:r>
      <w:r w:rsidR="002E4A99" w:rsidRPr="00587212">
        <w:rPr>
          <w:rFonts w:ascii="Times New Roman" w:eastAsiaTheme="minorEastAsia" w:hAnsi="Times New Roman" w:hint="eastAsia"/>
          <w:bCs/>
          <w:lang w:eastAsia="ko-KR"/>
        </w:rPr>
        <w:t xml:space="preserve"> </w:t>
      </w:r>
      <w:bookmarkStart w:id="13" w:name="_Hlk169960006"/>
      <w:r w:rsidR="002E4A99" w:rsidRPr="00587212">
        <w:rPr>
          <w:rFonts w:ascii="Times New Roman" w:eastAsiaTheme="minorEastAsia" w:hAnsi="Times New Roman"/>
          <w:bCs/>
          <w:lang w:eastAsia="ko-KR"/>
        </w:rPr>
        <w:fldChar w:fldCharType="begin"/>
      </w:r>
      <w:r w:rsidR="00130D33" w:rsidRPr="00587212">
        <w:rPr>
          <w:rFonts w:ascii="Times New Roman" w:eastAsiaTheme="minorEastAsia" w:hAnsi="Times New Roman"/>
          <w:bCs/>
          <w:lang w:eastAsia="ko-KR"/>
        </w:rPr>
        <w:instrText xml:space="preserve"> ADDIN ZOTERO_ITEM CSL_CITATION {"citationID":"gurJSIXT","properties":{"formattedCitation":"(Beauchamp et al., 2022; Felipe et al., 2023; Hwang et al., 2023)","plainCitation":"(Beauchamp et al., 2022; Felipe et al., 2023; Hwang et al., 2023)","dontUpdate":true,"noteIndex":0},"citationItems":[{"id":970,"uris":["http://zotero.org/users/10132210/items/EH5E2KUP"],"itemData":{"id":970,"type":"article-journal","abstract":"OBJECTIVE To evaluate the association between a COVID-19 diagnosis and change in mobility and physical function of adults in Canada aged 50 years or older during the initial pandemic lockdown. DESIGN, SETTING, AND PARTICIPANTS This population-based cohort study used data from the Canadian Longitudinal Study on Aging (CLSA) COVID-19 study. This study was launched on April 15, 2020, and the exit questionnaires were completed between September and December 2020. Prepandemic data from the first CLSA follow-up (2015-2018) were also used. Respondents included middle-aged and older community-dwelling participants residing in Canadian provinces. Data were analyzed from February to May 2021. EXPOSURES The assessment for self-reported COVID-19 status was adapted from the Public Health Agency of Canada and the Centers for Disease Control and Prevention case definition available at the time of data collection; cases were classified as confirmed or probable, suspected, or non–COVID-19. MAIN OUTCOMES AND MEASURES Changes in mobility since the start of the COVID-19 pandemic were assessed using global rating of change in mobility scales at the COVID-19 exit questionnaire. Participant-reported new onset of difficulty in 3 physical function tasks was also examined.\nRESULTS Among 51 338 participants at baseline, 21 491 participants (41.9%) were 65 years or older and 26 155 participants (51.0%) were women and 25 183 (49.1%) were men. Of 24 114 participants who completed the COVID-19 exit questionnaire, 2748 individuals had confirmed, probable or suspected COVID-19. Of 121 individuals with confirmed or probable COVID-19, 113 (93.3%) were not hospitalized. Individuals with confirmed or probable COVID-19 had higher odds of worsening mobility in terms of ability to engage in household activity (odds ratio [OR], 1.89; 95% CI, 1.11-3.22), physical activity (OR, 1.91; 95% CI, 1.32-2.76), and standing up after sitting in a chair (OR, 2.33; 95% CI, 1.06-5.11) compared with adults without COVID-19 during the same pandemic time period. Similar results were found for suspected COVID-19 status (eg, household activity: OR, 2.09; 95% CI, 1.822.41).\nCONCLUSIONS AND RELEVANCE This cohort study among older adults in Canada found that receiving a COVID-19 diagnosis was significantly associated with worse mobility and functioning outcomes even in the absence of hospitalization. These findings suggest that interventions may be needed for individuals with mild to moderate COVID-19 who do not require hospitalization.","container-title":"JAMA Network Open","DOI":"10.1001/jamanetworkopen.2021.46168","ISSN":"2574-3805","issue":"1","journalAbbreviation":"JAMA Netw Open","language":"en","page":"e2146168","source":"DOI.org (Crossref)","title":"Assessment of Functional Mobility After COVID-19 in Adults Aged 50 Years or Older in the Canadian Longitudinal Study on Aging","volume":"5","author":[{"family":"Beauchamp","given":"Marla K."},{"family":"Joshi","given":"Divya"},{"family":"McMillan","given":"Jacqueline"},{"family":"Erbas Oz","given":"Urun"},{"family":"Griffith","given":"Lauren E."},{"family":"Basta","given":"Nicole E."},{"family":"Kirkland","given":"Susan"},{"family":"Wolfson","given":"Christina"},{"family":"Raina","given":"Parminder"},{"literal":"Canadian Longitudinal Study on Aging (CLSA) Team"},{"family":"Costa","given":"Andrew"},{"family":"Anderson","given":"Laura"},{"family":"Balion","given":"Cynthia"},{"family":"Yukiko","given":"Asada"},{"family":"Cossette","given":"Benoȋt"},{"family":"Levasseur","given":"Melanie"},{"family":"Hofer","given":"Scott"},{"family":"Paterson","given":"Theone"},{"family":"Hogan","given":"David"},{"family":"Liu-Ambrose","given":"Teresa"},{"family":"Menec","given":"Verena"},{"family":"St. John","given":"Philip"},{"family":"Mugford","given":"Gerald"},{"family":"Gao","given":"Zhiwei"},{"family":"Taler","given":"Vanessa"},{"family":"Davidson","given":"Patrick"},{"family":"Wister","given":"Andrew"},{"family":"Cosco","given":"Theodore"}],"issued":{"date-parts":[["2022",1,12]]}}},{"id":966,"uris":["http://zotero.org/users/10132210/items/Q7NCIGTA"],"itemData":{"id":966,"type":"article-journal","abstract":"Background: Measures for physical contact restriction were implemented to prevent COVID-­19 spread. These measures directly impacted older people, reducing their mobility, especially outside home environment. Health systems worldwide need to be prepared to implement strategies to mitigate negative effects of reduced mobility in this population. Design: Scoping review using Arksey and O</w:instrText>
      </w:r>
      <w:r w:rsidR="00130D33" w:rsidRPr="00587212">
        <w:rPr>
          <w:rFonts w:ascii="Times New Roman" w:eastAsiaTheme="minorEastAsia" w:hAnsi="Times New Roman" w:hint="eastAsia"/>
          <w:bCs/>
          <w:lang w:eastAsia="ko-KR"/>
        </w:rPr>
        <w:instrText>′</w:instrText>
      </w:r>
      <w:r w:rsidR="00130D33" w:rsidRPr="00587212">
        <w:rPr>
          <w:rFonts w:ascii="Times New Roman" w:eastAsiaTheme="minorEastAsia" w:hAnsi="Times New Roman"/>
          <w:bCs/>
          <w:lang w:eastAsia="ko-KR"/>
        </w:rPr>
        <w:instrText xml:space="preserve">Malley's methodological framework.\nMethod: Therefore, a scoping review was conducted in LILACS, CINAHL, MEDLINE, WEB OF SCIENCE and SCOPUS databases. Documents and reports with recommendations from government agencies were also consulted. Results were presented in a narrative synthesis based on a conceptual model of mobility proposed by Webber (The Gerontologist, 2010, 50, 443) regarding the most frequently addressed determinants, characteristics of the proposed interventions, and means of dissemination for the older person population. Findings: Twenty-­eight studies were selected for the final sample. According to Webber's model, most articles (n = 14) presented the impacts on mobility from the perspective of physical determinants, relating this aspect to biological losses in the musculoskeletal system, and a minority assessed mobility in vital spaces, encompassing environmental (n = 3) and financial (n = 1) determinants. Also, the most frequent recommendation was that physical activity promotes maintenance of mobility and prevents the occurrence of adverse results, such as falls, fractures and functional decline. As to dissemination, digital technologies were recognised as a strategy to motivate, instruct and monitor exercise practice to increase mobility in older adults.\nConclusion: The main conditions related to the decline in mobility of older adults during COVID-­19 pandemic were physical inactivity and sedentary lifestyle. The practice of physical activity is widespread and needs to be adapted according to individual","container-title":"International Journal of Older People Nursing","DOI":"10.1111/opn.12496","ISSN":"1748-3735, 1748-3743","issue":"1","journalAbbreviation":"Int J Older People Nursing","language":"en","page":"e12496","source":"DOI.org (Crossref)","title":"Impact of COVID‐19 pandemic on mobility of older adults: A scoping review","title-short":"Impact of &lt;span style=\"font-variant","volume":"18","author":[{"family":"Felipe","given":"Sarah Giulia Bandeira"},{"family":"Parreira Batista","given":"Patrícia"},{"family":"Da Silva","given":"Cristina Cristóvão Ribeiro"},{"family":"De Melo","given":"Ruth Caldeira"},{"family":"De Assumpção","given":"Daniela"},{"family":"Perracini","given":"Monica Rodrigues"}],"issued":{"date-parts":[["2023",1]]}}},{"id":968,"uris":["http://zotero.org/users/10132210/items/ZARTVWR5"],"itemData":{"id":968,"type":"article-journal","container-title":"Technical paper, Department of Civil, Architectural and Environmental Engineering, The University of Texas at Austin","title":"An analysis of walking frequency before and after the pandemic","author":[{"family":"Hwang","given":"Hyunjun"},{"family":"Haddad","given":"Angela"},{"family":"Batur","given":"Irfan"},{"family":"Saxena","given":"Shobhit"},{"family":"Pendyala","given":"Ram M"},{"family":"Bhat","given":"Chandra R"}],"issued":{"date-parts":[["2023"]]}}}],"schema":"https://github.com/citation-style-language/schema/raw/master/csl-citation.json"} </w:instrText>
      </w:r>
      <w:r w:rsidR="002E4A99" w:rsidRPr="00587212">
        <w:rPr>
          <w:rFonts w:ascii="Times New Roman" w:eastAsiaTheme="minorEastAsia" w:hAnsi="Times New Roman"/>
          <w:bCs/>
          <w:lang w:eastAsia="ko-KR"/>
        </w:rPr>
        <w:fldChar w:fldCharType="separate"/>
      </w:r>
      <w:r w:rsidR="002E4A99" w:rsidRPr="00587212">
        <w:rPr>
          <w:rFonts w:ascii="Times New Roman" w:hAnsi="Times New Roman"/>
        </w:rPr>
        <w:t>(</w:t>
      </w:r>
      <w:r w:rsidR="00AA7F3C" w:rsidRPr="00587212">
        <w:rPr>
          <w:rFonts w:ascii="Times New Roman" w:eastAsiaTheme="minorEastAsia" w:hAnsi="Times New Roman"/>
          <w:lang w:eastAsia="ko-KR"/>
        </w:rPr>
        <w:t xml:space="preserve">see </w:t>
      </w:r>
      <w:r w:rsidR="002E4A99" w:rsidRPr="00587212">
        <w:rPr>
          <w:rFonts w:ascii="Times New Roman" w:hAnsi="Times New Roman"/>
        </w:rPr>
        <w:t>Beauchamp et al., 2022</w:t>
      </w:r>
      <w:r w:rsidR="00435F79" w:rsidRPr="00587212">
        <w:rPr>
          <w:rFonts w:ascii="Times New Roman" w:hAnsi="Times New Roman"/>
        </w:rPr>
        <w:t>,</w:t>
      </w:r>
      <w:r w:rsidR="002E4A99" w:rsidRPr="00587212">
        <w:rPr>
          <w:rFonts w:ascii="Times New Roman" w:hAnsi="Times New Roman"/>
        </w:rPr>
        <w:t xml:space="preserve"> Felipe et al., 2023</w:t>
      </w:r>
      <w:r w:rsidR="00435F79" w:rsidRPr="00587212">
        <w:rPr>
          <w:rFonts w:ascii="Times New Roman" w:hAnsi="Times New Roman"/>
        </w:rPr>
        <w:t>, and</w:t>
      </w:r>
      <w:r w:rsidR="002E4A99" w:rsidRPr="00587212">
        <w:rPr>
          <w:rFonts w:ascii="Times New Roman" w:hAnsi="Times New Roman"/>
        </w:rPr>
        <w:t xml:space="preserve"> Hwang et al., 2023)</w:t>
      </w:r>
      <w:r w:rsidR="002E4A99" w:rsidRPr="00587212">
        <w:rPr>
          <w:rFonts w:ascii="Times New Roman" w:eastAsiaTheme="minorEastAsia" w:hAnsi="Times New Roman"/>
          <w:bCs/>
          <w:lang w:eastAsia="ko-KR"/>
        </w:rPr>
        <w:fldChar w:fldCharType="end"/>
      </w:r>
      <w:r w:rsidR="00CC50D9" w:rsidRPr="00587212">
        <w:rPr>
          <w:rFonts w:ascii="Times New Roman" w:hAnsi="Times New Roman"/>
          <w:bCs/>
        </w:rPr>
        <w:t>.</w:t>
      </w:r>
      <w:r w:rsidR="00DE252D" w:rsidRPr="00587212">
        <w:rPr>
          <w:rFonts w:ascii="Times New Roman" w:hAnsi="Times New Roman"/>
          <w:bCs/>
        </w:rPr>
        <w:t xml:space="preserve"> </w:t>
      </w:r>
      <w:bookmarkEnd w:id="13"/>
      <w:r w:rsidR="00DE252D" w:rsidRPr="00587212">
        <w:rPr>
          <w:rFonts w:ascii="Times New Roman" w:hAnsi="Times New Roman"/>
          <w:bCs/>
        </w:rPr>
        <w:t>Accordingly, in this paper,</w:t>
      </w:r>
      <w:r w:rsidR="00BF4EDE" w:rsidRPr="00587212">
        <w:rPr>
          <w:rFonts w:ascii="Times New Roman" w:hAnsi="Times New Roman"/>
          <w:bCs/>
        </w:rPr>
        <w:t xml:space="preserve"> we employ a multivariate modeling approach to estimate the effect</w:t>
      </w:r>
      <w:r w:rsidR="00DE252D" w:rsidRPr="00587212">
        <w:rPr>
          <w:rFonts w:ascii="Times New Roman" w:hAnsi="Times New Roman"/>
          <w:bCs/>
        </w:rPr>
        <w:t>s</w:t>
      </w:r>
      <w:r w:rsidR="00BF4EDE" w:rsidRPr="00587212">
        <w:rPr>
          <w:rFonts w:ascii="Times New Roman" w:hAnsi="Times New Roman"/>
          <w:bCs/>
        </w:rPr>
        <w:t xml:space="preserve"> of sociodemographic factors on </w:t>
      </w:r>
      <w:r w:rsidR="00DE252D" w:rsidRPr="00587212">
        <w:rPr>
          <w:rFonts w:ascii="Times New Roman" w:hAnsi="Times New Roman"/>
          <w:bCs/>
        </w:rPr>
        <w:t xml:space="preserve">all </w:t>
      </w:r>
      <w:r w:rsidR="00BF4EDE" w:rsidRPr="00587212">
        <w:rPr>
          <w:rFonts w:ascii="Times New Roman" w:hAnsi="Times New Roman"/>
          <w:bCs/>
        </w:rPr>
        <w:t>three dimensions</w:t>
      </w:r>
      <w:r w:rsidR="00873780" w:rsidRPr="00587212">
        <w:rPr>
          <w:rFonts w:ascii="Times New Roman" w:hAnsi="Times New Roman"/>
          <w:bCs/>
        </w:rPr>
        <w:t>,</w:t>
      </w:r>
      <w:r w:rsidR="00BF4EDE" w:rsidRPr="00587212">
        <w:rPr>
          <w:rFonts w:ascii="Times New Roman" w:hAnsi="Times New Roman"/>
          <w:bCs/>
        </w:rPr>
        <w:t xml:space="preserve"> utiliz</w:t>
      </w:r>
      <w:r w:rsidR="00873780" w:rsidRPr="00587212">
        <w:rPr>
          <w:rFonts w:ascii="Times New Roman" w:hAnsi="Times New Roman"/>
          <w:bCs/>
        </w:rPr>
        <w:t>ing</w:t>
      </w:r>
      <w:r w:rsidR="00BF4EDE" w:rsidRPr="00587212">
        <w:rPr>
          <w:rFonts w:ascii="Times New Roman" w:hAnsi="Times New Roman"/>
          <w:bCs/>
        </w:rPr>
        <w:t xml:space="preserve"> data from the </w:t>
      </w:r>
      <w:r w:rsidR="00BF4EDE" w:rsidRPr="00587212">
        <w:rPr>
          <w:rFonts w:eastAsiaTheme="minorEastAsia"/>
          <w:lang w:eastAsia="ko-KR"/>
        </w:rPr>
        <w:t>“</w:t>
      </w:r>
      <w:r w:rsidR="00874470" w:rsidRPr="0031004A">
        <w:rPr>
          <w:color w:val="000000"/>
          <w:szCs w:val="24"/>
        </w:rPr>
        <w:t xml:space="preserve">American Association of Retired Persons </w:t>
      </w:r>
      <w:r w:rsidR="00874470">
        <w:rPr>
          <w:color w:val="000000"/>
          <w:szCs w:val="24"/>
        </w:rPr>
        <w:t>(</w:t>
      </w:r>
      <w:r w:rsidR="00BF4EDE" w:rsidRPr="00587212">
        <w:rPr>
          <w:rFonts w:eastAsiaTheme="minorEastAsia"/>
          <w:lang w:eastAsia="ko-KR"/>
        </w:rPr>
        <w:t>AARP</w:t>
      </w:r>
      <w:r w:rsidR="00874470">
        <w:rPr>
          <w:rFonts w:eastAsiaTheme="minorEastAsia"/>
          <w:lang w:eastAsia="ko-KR"/>
        </w:rPr>
        <w:t>)</w:t>
      </w:r>
      <w:r w:rsidR="00BF4EDE" w:rsidRPr="00587212">
        <w:rPr>
          <w:rFonts w:eastAsiaTheme="minorEastAsia"/>
          <w:lang w:eastAsia="ko-KR"/>
        </w:rPr>
        <w:t xml:space="preserve"> Walking Survey: Attitudes and Habits of Adults Aged 50 and Older</w:t>
      </w:r>
      <w:r w:rsidR="00BF4EDE" w:rsidRPr="00587212">
        <w:rPr>
          <w:rFonts w:ascii="Times New Roman" w:hAnsi="Times New Roman"/>
          <w:bCs/>
        </w:rPr>
        <w:t>”</w:t>
      </w:r>
      <w:r w:rsidR="00873780" w:rsidRPr="00587212">
        <w:rPr>
          <w:rFonts w:ascii="Times New Roman" w:hAnsi="Times New Roman"/>
          <w:bCs/>
        </w:rPr>
        <w:t xml:space="preserve"> collected </w:t>
      </w:r>
      <w:r w:rsidR="00BF4EDE" w:rsidRPr="00587212">
        <w:rPr>
          <w:rFonts w:ascii="Times New Roman" w:hAnsi="Times New Roman"/>
          <w:bCs/>
        </w:rPr>
        <w:t>in July 2022</w:t>
      </w:r>
      <w:r w:rsidR="00873780" w:rsidRPr="00587212">
        <w:rPr>
          <w:rFonts w:ascii="Times New Roman" w:hAnsi="Times New Roman"/>
          <w:bCs/>
        </w:rPr>
        <w:t>.</w:t>
      </w:r>
      <w:r w:rsidR="00873780">
        <w:rPr>
          <w:rFonts w:ascii="Times New Roman" w:hAnsi="Times New Roman"/>
          <w:bCs/>
        </w:rPr>
        <w:t xml:space="preserve"> </w:t>
      </w:r>
    </w:p>
    <w:p w14:paraId="5EA577DD" w14:textId="1E9FEA3F" w:rsidR="0036534A" w:rsidRDefault="00042FB2" w:rsidP="003518AB">
      <w:pPr>
        <w:ind w:firstLine="720"/>
        <w:jc w:val="both"/>
        <w:rPr>
          <w:rFonts w:ascii="Times New Roman" w:hAnsi="Times New Roman"/>
          <w:bCs/>
        </w:rPr>
      </w:pPr>
      <w:r>
        <w:rPr>
          <w:rFonts w:ascii="Times New Roman" w:hAnsi="Times New Roman"/>
          <w:bCs/>
        </w:rPr>
        <w:t>The rest of th</w:t>
      </w:r>
      <w:r w:rsidR="00873780">
        <w:rPr>
          <w:rFonts w:ascii="Times New Roman" w:hAnsi="Times New Roman"/>
          <w:bCs/>
        </w:rPr>
        <w:t>is</w:t>
      </w:r>
      <w:r>
        <w:rPr>
          <w:rFonts w:ascii="Times New Roman" w:hAnsi="Times New Roman"/>
          <w:bCs/>
        </w:rPr>
        <w:t xml:space="preserve"> paper is organized as follows: Section 2 provides</w:t>
      </w:r>
      <w:r w:rsidR="00B94F3B" w:rsidRPr="00B94F3B">
        <w:rPr>
          <w:rFonts w:ascii="Times New Roman" w:hAnsi="Times New Roman"/>
          <w:bCs/>
        </w:rPr>
        <w:t xml:space="preserve"> an overview of the literature on </w:t>
      </w:r>
      <w:r w:rsidR="00977495">
        <w:rPr>
          <w:rFonts w:ascii="Times New Roman" w:hAnsi="Times New Roman"/>
          <w:bCs/>
        </w:rPr>
        <w:t xml:space="preserve">the </w:t>
      </w:r>
      <w:r w:rsidR="00B94F3B" w:rsidRPr="00B94F3B">
        <w:rPr>
          <w:rFonts w:ascii="Times New Roman" w:hAnsi="Times New Roman"/>
          <w:bCs/>
        </w:rPr>
        <w:t>walking behavior of older adults</w:t>
      </w:r>
      <w:r w:rsidR="00DE252D">
        <w:rPr>
          <w:rFonts w:ascii="Times New Roman" w:hAnsi="Times New Roman"/>
          <w:bCs/>
        </w:rPr>
        <w:t>.</w:t>
      </w:r>
      <w:r w:rsidR="00B94F3B" w:rsidRPr="00B94F3B">
        <w:rPr>
          <w:rFonts w:ascii="Times New Roman" w:hAnsi="Times New Roman"/>
          <w:bCs/>
        </w:rPr>
        <w:t xml:space="preserve"> Section 3 </w:t>
      </w:r>
      <w:r w:rsidR="00DE252D">
        <w:rPr>
          <w:rFonts w:ascii="Times New Roman" w:hAnsi="Times New Roman"/>
          <w:bCs/>
        </w:rPr>
        <w:t xml:space="preserve">discusses the data and sample characteristics, while Section 4 presents </w:t>
      </w:r>
      <w:r>
        <w:rPr>
          <w:rFonts w:ascii="Times New Roman" w:hAnsi="Times New Roman"/>
          <w:bCs/>
        </w:rPr>
        <w:t>estimation results</w:t>
      </w:r>
      <w:r w:rsidR="00B94F3B" w:rsidRPr="00B94F3B">
        <w:rPr>
          <w:rFonts w:ascii="Times New Roman" w:hAnsi="Times New Roman"/>
          <w:bCs/>
        </w:rPr>
        <w:t xml:space="preserve">. Section 5 </w:t>
      </w:r>
      <w:r w:rsidR="008F364C">
        <w:rPr>
          <w:rFonts w:ascii="Times New Roman" w:hAnsi="Times New Roman"/>
          <w:bCs/>
        </w:rPr>
        <w:t xml:space="preserve">translates the estimation results into </w:t>
      </w:r>
      <w:r w:rsidR="00B94F3B" w:rsidRPr="00B94F3B">
        <w:rPr>
          <w:rFonts w:ascii="Times New Roman" w:hAnsi="Times New Roman"/>
          <w:bCs/>
        </w:rPr>
        <w:t>average treatment effect</w:t>
      </w:r>
      <w:r w:rsidR="008F364C">
        <w:rPr>
          <w:rFonts w:ascii="Times New Roman" w:hAnsi="Times New Roman"/>
          <w:bCs/>
        </w:rPr>
        <w:t>s</w:t>
      </w:r>
      <w:r w:rsidR="00B94F3B" w:rsidRPr="00B94F3B">
        <w:rPr>
          <w:rFonts w:ascii="Times New Roman" w:hAnsi="Times New Roman"/>
          <w:bCs/>
        </w:rPr>
        <w:t xml:space="preserve"> (ATE</w:t>
      </w:r>
      <w:r w:rsidR="008F364C">
        <w:rPr>
          <w:rFonts w:ascii="Times New Roman" w:hAnsi="Times New Roman"/>
          <w:bCs/>
        </w:rPr>
        <w:t>s</w:t>
      </w:r>
      <w:r w:rsidR="00B94F3B" w:rsidRPr="00B94F3B">
        <w:rPr>
          <w:rFonts w:ascii="Times New Roman" w:hAnsi="Times New Roman"/>
          <w:bCs/>
        </w:rPr>
        <w:t xml:space="preserve">) </w:t>
      </w:r>
      <w:r w:rsidR="008F364C">
        <w:rPr>
          <w:rFonts w:ascii="Times New Roman" w:hAnsi="Times New Roman"/>
          <w:bCs/>
        </w:rPr>
        <w:t xml:space="preserve">that inform policies </w:t>
      </w:r>
      <w:r>
        <w:rPr>
          <w:rFonts w:ascii="Times New Roman" w:hAnsi="Times New Roman"/>
          <w:bCs/>
        </w:rPr>
        <w:t xml:space="preserve">aimed </w:t>
      </w:r>
      <w:r w:rsidR="00977495">
        <w:rPr>
          <w:rFonts w:ascii="Times New Roman" w:hAnsi="Times New Roman"/>
          <w:bCs/>
        </w:rPr>
        <w:t>at promoting</w:t>
      </w:r>
      <w:r w:rsidR="00B94F3B" w:rsidRPr="00B94F3B">
        <w:rPr>
          <w:rFonts w:ascii="Times New Roman" w:hAnsi="Times New Roman"/>
          <w:bCs/>
        </w:rPr>
        <w:t xml:space="preserve"> walking</w:t>
      </w:r>
      <w:r w:rsidR="008F364C">
        <w:rPr>
          <w:rFonts w:ascii="Times New Roman" w:hAnsi="Times New Roman"/>
          <w:bCs/>
        </w:rPr>
        <w:t>, as discussed in Section 6</w:t>
      </w:r>
      <w:r w:rsidR="00B94F3B" w:rsidRPr="00B94F3B">
        <w:rPr>
          <w:rFonts w:ascii="Times New Roman" w:hAnsi="Times New Roman"/>
          <w:bCs/>
        </w:rPr>
        <w:t xml:space="preserve">. </w:t>
      </w:r>
      <w:r>
        <w:rPr>
          <w:rFonts w:ascii="Times New Roman" w:hAnsi="Times New Roman"/>
          <w:bCs/>
        </w:rPr>
        <w:t xml:space="preserve">Finally, </w:t>
      </w:r>
      <w:r w:rsidR="00B94F3B" w:rsidRPr="00B94F3B">
        <w:rPr>
          <w:rFonts w:ascii="Times New Roman" w:hAnsi="Times New Roman"/>
          <w:bCs/>
        </w:rPr>
        <w:t>Section 7 concludes the paper with a summ</w:t>
      </w:r>
      <w:r>
        <w:rPr>
          <w:rFonts w:ascii="Times New Roman" w:hAnsi="Times New Roman"/>
          <w:bCs/>
        </w:rPr>
        <w:t>a</w:t>
      </w:r>
      <w:r w:rsidR="00B94F3B" w:rsidRPr="00B94F3B">
        <w:rPr>
          <w:rFonts w:ascii="Times New Roman" w:hAnsi="Times New Roman"/>
          <w:bCs/>
        </w:rPr>
        <w:t>ry o</w:t>
      </w:r>
      <w:r>
        <w:rPr>
          <w:rFonts w:ascii="Times New Roman" w:hAnsi="Times New Roman"/>
          <w:bCs/>
        </w:rPr>
        <w:t>f</w:t>
      </w:r>
      <w:r w:rsidR="00B94F3B" w:rsidRPr="00B94F3B">
        <w:rPr>
          <w:rFonts w:ascii="Times New Roman" w:hAnsi="Times New Roman"/>
          <w:bCs/>
        </w:rPr>
        <w:t xml:space="preserve"> the findings and future research directions</w:t>
      </w:r>
      <w:r w:rsidR="00B94F3B">
        <w:rPr>
          <w:rFonts w:ascii="Times New Roman" w:hAnsi="Times New Roman"/>
          <w:bCs/>
        </w:rPr>
        <w:t>.</w:t>
      </w:r>
    </w:p>
    <w:p w14:paraId="428DAE71" w14:textId="77777777" w:rsidR="00B220B8" w:rsidRPr="00871024" w:rsidRDefault="00B220B8" w:rsidP="003518AB">
      <w:pPr>
        <w:ind w:firstLine="720"/>
        <w:jc w:val="both"/>
        <w:rPr>
          <w:rFonts w:ascii="Times New Roman" w:hAnsi="Times New Roman"/>
        </w:rPr>
      </w:pPr>
    </w:p>
    <w:p w14:paraId="3C034EB0" w14:textId="204053EA" w:rsidR="000B30CB" w:rsidRPr="007F24B9" w:rsidRDefault="005B5CB6" w:rsidP="003518AB">
      <w:pPr>
        <w:pStyle w:val="Heading1"/>
        <w:spacing w:line="240" w:lineRule="auto"/>
        <w:contextualSpacing w:val="0"/>
        <w:rPr>
          <w:caps/>
        </w:rPr>
      </w:pPr>
      <w:r w:rsidRPr="007F24B9">
        <w:rPr>
          <w:caps/>
        </w:rPr>
        <w:t xml:space="preserve">Literature </w:t>
      </w:r>
      <w:r w:rsidR="00F828B0" w:rsidRPr="007F24B9">
        <w:rPr>
          <w:caps/>
        </w:rPr>
        <w:t>Ove</w:t>
      </w:r>
      <w:r w:rsidRPr="007F24B9">
        <w:rPr>
          <w:caps/>
        </w:rPr>
        <w:t>rview</w:t>
      </w:r>
    </w:p>
    <w:p w14:paraId="718920BF" w14:textId="402E466C" w:rsidR="00434761" w:rsidRDefault="00A44DE6" w:rsidP="003518AB">
      <w:pPr>
        <w:jc w:val="both"/>
        <w:rPr>
          <w:rFonts w:ascii="Times New Roman" w:eastAsiaTheme="minorEastAsia" w:hAnsi="Times New Roman"/>
          <w:bCs/>
          <w:szCs w:val="24"/>
          <w:lang w:eastAsia="ko-KR"/>
        </w:rPr>
      </w:pPr>
      <w:r w:rsidRPr="009E07AD">
        <w:rPr>
          <w:rFonts w:ascii="Times New Roman" w:hAnsi="Times New Roman"/>
          <w:bCs/>
          <w:szCs w:val="24"/>
        </w:rPr>
        <w:t xml:space="preserve">A number of earlier studies </w:t>
      </w:r>
      <w:r w:rsidR="00564DBC" w:rsidRPr="00613B7F">
        <w:rPr>
          <w:rFonts w:ascii="Times New Roman" w:hAnsi="Times New Roman"/>
          <w:bCs/>
          <w:szCs w:val="24"/>
        </w:rPr>
        <w:t xml:space="preserve">have explored </w:t>
      </w:r>
      <w:r w:rsidR="00F828B0" w:rsidRPr="00613B7F">
        <w:rPr>
          <w:rFonts w:ascii="Times New Roman" w:hAnsi="Times New Roman"/>
          <w:bCs/>
          <w:szCs w:val="24"/>
        </w:rPr>
        <w:t xml:space="preserve">the </w:t>
      </w:r>
      <w:r w:rsidR="00956B83" w:rsidRPr="00613B7F">
        <w:rPr>
          <w:rFonts w:ascii="Times New Roman" w:hAnsi="Times New Roman"/>
          <w:bCs/>
          <w:szCs w:val="24"/>
        </w:rPr>
        <w:t xml:space="preserve">health and overall well-being </w:t>
      </w:r>
      <w:r w:rsidR="004C5142" w:rsidRPr="00613B7F">
        <w:rPr>
          <w:rFonts w:ascii="Times New Roman" w:hAnsi="Times New Roman"/>
          <w:bCs/>
          <w:szCs w:val="24"/>
        </w:rPr>
        <w:t xml:space="preserve">benefits </w:t>
      </w:r>
      <w:r w:rsidR="00A90655" w:rsidRPr="00613B7F">
        <w:rPr>
          <w:rFonts w:ascii="Times New Roman" w:hAnsi="Times New Roman"/>
          <w:bCs/>
          <w:szCs w:val="24"/>
        </w:rPr>
        <w:t xml:space="preserve">of </w:t>
      </w:r>
      <w:r w:rsidRPr="00613B7F">
        <w:rPr>
          <w:rFonts w:ascii="Times New Roman" w:hAnsi="Times New Roman"/>
          <w:bCs/>
          <w:szCs w:val="24"/>
        </w:rPr>
        <w:t>each of the three</w:t>
      </w:r>
      <w:r w:rsidR="00873780">
        <w:rPr>
          <w:rFonts w:ascii="Times New Roman" w:hAnsi="Times New Roman"/>
          <w:bCs/>
          <w:szCs w:val="24"/>
        </w:rPr>
        <w:t xml:space="preserve"> walking</w:t>
      </w:r>
      <w:r w:rsidRPr="001F57F8">
        <w:rPr>
          <w:rFonts w:ascii="Times New Roman" w:hAnsi="Times New Roman"/>
          <w:bCs/>
          <w:szCs w:val="24"/>
        </w:rPr>
        <w:t xml:space="preserve"> dimensions </w:t>
      </w:r>
      <w:r w:rsidR="00F828B0" w:rsidRPr="00613B7F">
        <w:rPr>
          <w:rFonts w:ascii="Times New Roman" w:hAnsi="Times New Roman"/>
          <w:bCs/>
          <w:szCs w:val="24"/>
        </w:rPr>
        <w:t>(</w:t>
      </w:r>
      <w:proofErr w:type="gramStart"/>
      <w:r w:rsidR="005A3D06" w:rsidRPr="00613B7F">
        <w:rPr>
          <w:rFonts w:ascii="Times New Roman" w:hAnsi="Times New Roman"/>
          <w:bCs/>
          <w:szCs w:val="24"/>
        </w:rPr>
        <w:t>i.e.</w:t>
      </w:r>
      <w:proofErr w:type="gramEnd"/>
      <w:r w:rsidR="00BF4EDE" w:rsidRPr="00613B7F">
        <w:rPr>
          <w:rFonts w:ascii="Times New Roman" w:hAnsi="Times New Roman"/>
          <w:bCs/>
          <w:szCs w:val="24"/>
        </w:rPr>
        <w:t xml:space="preserve"> </w:t>
      </w:r>
      <w:r w:rsidR="00F828B0" w:rsidRPr="00613B7F">
        <w:rPr>
          <w:rFonts w:ascii="Times New Roman" w:hAnsi="Times New Roman"/>
          <w:bCs/>
          <w:szCs w:val="24"/>
        </w:rPr>
        <w:t xml:space="preserve">frequency, </w:t>
      </w:r>
      <w:r w:rsidR="00F828B0" w:rsidRPr="00587212">
        <w:rPr>
          <w:rFonts w:ascii="Times New Roman" w:hAnsi="Times New Roman"/>
          <w:bCs/>
          <w:szCs w:val="24"/>
        </w:rPr>
        <w:t>duration, and companionship)</w:t>
      </w:r>
      <w:r w:rsidRPr="00587212">
        <w:rPr>
          <w:rFonts w:ascii="Times New Roman" w:hAnsi="Times New Roman"/>
          <w:bCs/>
          <w:szCs w:val="24"/>
        </w:rPr>
        <w:t xml:space="preserve"> considered in this study</w:t>
      </w:r>
      <w:r w:rsidR="00A90655" w:rsidRPr="00587212">
        <w:rPr>
          <w:rFonts w:ascii="Times New Roman" w:hAnsi="Times New Roman"/>
          <w:bCs/>
          <w:szCs w:val="24"/>
        </w:rPr>
        <w:t>.</w:t>
      </w:r>
      <w:r w:rsidR="002818CA" w:rsidRPr="00587212">
        <w:rPr>
          <w:rFonts w:ascii="Times New Roman" w:eastAsiaTheme="minorEastAsia" w:hAnsi="Times New Roman" w:hint="eastAsia"/>
          <w:bCs/>
          <w:szCs w:val="24"/>
          <w:lang w:eastAsia="ko-KR"/>
        </w:rPr>
        <w:t xml:space="preserve"> </w:t>
      </w:r>
      <w:r w:rsidR="00873780" w:rsidRPr="00587212">
        <w:rPr>
          <w:rFonts w:ascii="Times New Roman" w:hAnsi="Times New Roman"/>
          <w:bCs/>
          <w:szCs w:val="24"/>
        </w:rPr>
        <w:t xml:space="preserve">Studies on walking frequency and duration effects have </w:t>
      </w:r>
      <w:r w:rsidRPr="00587212">
        <w:rPr>
          <w:rFonts w:ascii="Times New Roman" w:hAnsi="Times New Roman"/>
          <w:bCs/>
          <w:szCs w:val="24"/>
        </w:rPr>
        <w:t>established beneficial effect</w:t>
      </w:r>
      <w:r w:rsidR="00D456D3" w:rsidRPr="00587212">
        <w:rPr>
          <w:rFonts w:ascii="Times New Roman" w:hAnsi="Times New Roman"/>
          <w:bCs/>
          <w:szCs w:val="24"/>
        </w:rPr>
        <w:t>s</w:t>
      </w:r>
      <w:r w:rsidRPr="00587212">
        <w:rPr>
          <w:rFonts w:ascii="Times New Roman" w:hAnsi="Times New Roman"/>
          <w:bCs/>
          <w:szCs w:val="24"/>
        </w:rPr>
        <w:t xml:space="preserve"> on improving mental wellness (through decreasing the occurrence and frequency of depression, improving vitality</w:t>
      </w:r>
      <w:r w:rsidR="00E63022" w:rsidRPr="00587212">
        <w:rPr>
          <w:rFonts w:ascii="Times New Roman" w:hAnsi="Times New Roman"/>
          <w:bCs/>
          <w:szCs w:val="24"/>
        </w:rPr>
        <w:t>,</w:t>
      </w:r>
      <w:r w:rsidR="00B14388" w:rsidRPr="00587212">
        <w:rPr>
          <w:rFonts w:ascii="Times New Roman" w:eastAsiaTheme="minorEastAsia" w:hAnsi="Times New Roman" w:hint="eastAsia"/>
          <w:bCs/>
          <w:szCs w:val="24"/>
          <w:lang w:eastAsia="ko-KR"/>
        </w:rPr>
        <w:t xml:space="preserve"> </w:t>
      </w:r>
      <w:r w:rsidR="00D456D3" w:rsidRPr="00587212">
        <w:rPr>
          <w:rFonts w:ascii="Times New Roman" w:hAnsi="Times New Roman"/>
          <w:bCs/>
          <w:szCs w:val="24"/>
        </w:rPr>
        <w:t>and</w:t>
      </w:r>
      <w:r w:rsidR="00B14388" w:rsidRPr="00587212">
        <w:rPr>
          <w:rFonts w:ascii="Times New Roman" w:eastAsiaTheme="minorEastAsia" w:hAnsi="Times New Roman" w:hint="eastAsia"/>
          <w:bCs/>
          <w:szCs w:val="24"/>
          <w:lang w:eastAsia="ko-KR"/>
        </w:rPr>
        <w:t xml:space="preserve"> reducing stress level</w:t>
      </w:r>
      <w:r w:rsidR="00E63022" w:rsidRPr="00587212">
        <w:rPr>
          <w:rFonts w:ascii="Times New Roman" w:eastAsiaTheme="minorEastAsia" w:hAnsi="Times New Roman"/>
          <w:bCs/>
          <w:szCs w:val="24"/>
          <w:lang w:eastAsia="ko-KR"/>
        </w:rPr>
        <w:t>s</w:t>
      </w:r>
      <w:r w:rsidR="00662512" w:rsidRPr="00587212">
        <w:rPr>
          <w:rFonts w:ascii="Times New Roman" w:hAnsi="Times New Roman"/>
          <w:bCs/>
          <w:szCs w:val="24"/>
        </w:rPr>
        <w:t>; see, for example</w:t>
      </w:r>
      <w:bookmarkStart w:id="14" w:name="_Hlk169960094"/>
      <w:r w:rsidR="00662512" w:rsidRPr="00587212">
        <w:rPr>
          <w:rFonts w:ascii="Times New Roman" w:hAnsi="Times New Roman"/>
          <w:bCs/>
          <w:szCs w:val="24"/>
        </w:rPr>
        <w:t>,</w:t>
      </w:r>
      <w:r w:rsidR="00435F79" w:rsidRPr="00587212">
        <w:rPr>
          <w:rFonts w:ascii="Times New Roman" w:hAnsi="Times New Roman"/>
        </w:rPr>
        <w:t xml:space="preserve"> </w:t>
      </w:r>
      <w:proofErr w:type="spellStart"/>
      <w:r w:rsidR="00435F79" w:rsidRPr="00587212">
        <w:rPr>
          <w:rFonts w:ascii="Times New Roman" w:hAnsi="Times New Roman"/>
        </w:rPr>
        <w:t>Kroesen</w:t>
      </w:r>
      <w:proofErr w:type="spellEnd"/>
      <w:r w:rsidR="00435F79" w:rsidRPr="00587212">
        <w:rPr>
          <w:rFonts w:ascii="Times New Roman" w:hAnsi="Times New Roman"/>
        </w:rPr>
        <w:t xml:space="preserve"> </w:t>
      </w:r>
      <w:r w:rsidR="00435F79" w:rsidRPr="00587212">
        <w:rPr>
          <w:rFonts w:ascii="Times New Roman" w:eastAsiaTheme="minorEastAsia" w:hAnsi="Times New Roman"/>
          <w:lang w:eastAsia="ko-KR"/>
        </w:rPr>
        <w:t>and</w:t>
      </w:r>
      <w:r w:rsidR="00435F79" w:rsidRPr="00587212">
        <w:rPr>
          <w:rFonts w:ascii="Times New Roman" w:hAnsi="Times New Roman"/>
        </w:rPr>
        <w:t xml:space="preserve"> De Vos, 2020, Roe et al., 2020,</w:t>
      </w:r>
      <w:r w:rsidR="00662512" w:rsidRPr="00587212">
        <w:rPr>
          <w:rFonts w:ascii="Times New Roman" w:hAnsi="Times New Roman"/>
          <w:bCs/>
          <w:szCs w:val="24"/>
        </w:rPr>
        <w:t xml:space="preserve"> </w:t>
      </w:r>
      <w:r w:rsidR="003A53AD" w:rsidRPr="00587212">
        <w:rPr>
          <w:rFonts w:ascii="Times New Roman" w:hAnsi="Times New Roman"/>
          <w:bCs/>
          <w:szCs w:val="24"/>
        </w:rPr>
        <w:fldChar w:fldCharType="begin"/>
      </w:r>
      <w:r w:rsidR="00130D33" w:rsidRPr="00587212">
        <w:rPr>
          <w:rFonts w:ascii="Times New Roman" w:hAnsi="Times New Roman"/>
          <w:bCs/>
          <w:szCs w:val="24"/>
        </w:rPr>
        <w:instrText xml:space="preserve"> ADDIN ZOTERO_ITEM CSL_CITATION {"citationID":"4n4vksbz","properties":{"formattedCitation":"(Chen et al., 2021; Chin et al., 2022; Kroesen &amp; De Vos, 2020; Roe et al., 2020)","plainCitation":"(Chen et al., 2021; Chin et al., 2022; Kroesen &amp; De Vos, 2020; Roe et al., 2020)","dontUpdate":true,"noteIndex":0},"citationItems":[{"id":1238,"uris":["http://zotero.org/users/10132210/items/U389E9C8"],"itemData":{"id":1238,"type":"article-journal","container-title":"Experimental Gerontology","DOI":"10.1016/j.exger.2021.111428","ISSN":"05315565","journalAbbreviation":"Experimental Gerontology","language":"en","page":"111428","source":"DOI.org (Crossref)","title":"Cross-sectional and longitudinal associations of outdoor walking with overall mental health in later life","volume":"151","author":[{"family":"Chen","given":"Shang-Ti"},{"family":"Stevinson","given":"Clare"},{"family":"Yang","given":"Chih-Hsiang"},{"family":"Sun","given":"Wen-Jun"},{"family":"Chen","given":"Li-Jung"},{"family":"Ku","given":"Po-Wen"}],"issued":{"date-parts":[["2021",8]]}}},{"id":1240,"uris":["http://zotero.org/users/10132210/items/PE5YKR8A"],"itemData":{"id":1240,"type":"article-journal","abstract":"Background\n              The effects of exercise frequency and intensity on alleviating depressive symptoms in older adults with insomnia are unclear.\n            \n            \n              Purpose\n              The purpose of this study was to investigate the influence of different exercise frequencies and intensities on prescribed aerobic-type physical activity (i.e., 75 min of vigorous-intensity exercise or 150 min of moderate-intensity exercise weekly) for reducing depressive symptoms in older adults living with insomnia, as recommended by the WHO.\n            \n            \n              Design\n              This study is a randomized, controlled, assessor-blinded trial.\n            \n            \n              Setting\n              This study is conducted at a single research site in Hong Kong.\n            \n            \n              Participants\n              This study includes older adults aged 50 years or above with depressive symptoms and insomnia.\n            \n            \n              Intervention\n              Participants were randomly assigned in a 1:1:1:1:1 ratio to the following groups: attention control (CON), moderate walking once weekly (MOD × 1/week), moderate walking thrice weekly (MOD × 3/week), vigorous walking once weekly (VIG × 1/week), and vigorous walking thrice weekly (VIG × 3/week). The total weekly exercise volumes among the walking groups were matched to the minimum recommended physical activity volume.\n            \n            \n              Measurements\n              Depression, anxiety, self-perceived sleep quality, insomnia severity, actigraphy-assessed 7-day sleep data, 7-day sleep diary, cardiorespiratory fitness, adherence, and habitual physical activity were examined at baseline and after 12 weeks of intervention.\n            \n            \n              Results\n              \n                Both MOD × 3/week and VIG × 3/week groups demonstrated reduced depression (Hospital Anxiety and Depression Scale [HADS] – Depression: MOD × 3/wk: −68.6%; VIG × 3/week: −67.4%) and anxiety levels (HADS – Anxiety: MOD × 3/week: −54.3%; VIG × 3/week: −59.8%) compared with CON (both\n                p\n                &amp;lt; 0.01). Self-perceived sleep quality was improved in MOD × 3/week (−31.4% of the Pittsburgh Sleep Quality Index [PSQI]), VIG × 1/week (−34.1% of PSQI), and VIG × 3/week (−38.3% of PSQI), but not in MOD × 1/week, when compared with CON (\n                p\n                &amp;lt; 0.05). No serious adverse events were observed in this study.\n              \n            \n            \n              Conclusion\n              The effects of walking training on reducing depressive symptoms appeared to be dependent on exercise frequency. Our findings suggest that three sessions of walking per week at either moderate or vigorous-intensity effectively alleviate depressive symptoms in older adults with insomnia. Additional research is needed to further verify the effects of exercise frequency on depression.\n            \n            \n              Clinical Trial Registration\n              \n                [\n                ClinicalTrials.gov\n                ], identifier [NCT04354922].","container-title":"Frontiers in Physiology","DOI":"10.3389/fphys.2022.863457","ISSN":"1664-042X","journalAbbreviation":"Front. Physiol.","page":"863457","source":"DOI.org (Crossref)","title":"Effects of Exercise Frequency and Intensity on Reducing Depressive Symptoms in Older Adults With Insomnia: A Pilot Randomized Controlled Trial","title-short":"Effects of Exercise Frequency and Intensity on Reducing Depressive Symptoms in Older Adults With Insomnia","volume":"13","author":[{"family":"Chin","given":"Edwin C."},{"family":"Yu","given":"Angus P."},{"family":"Leung","given":"Chit K."},{"family":"Bernal","given":"Joshua D."},{"family":"Au","given":"Whitney W."},{"family":"Fong","given":"Daniel Y."},{"family":"Cheng","given":"Calvin P."},{"family":"Siu","given":"Parco M."}],"issued":{"date-parts":[["2022",4,5]]}}},{"id":1242,"uris":["http://zotero.org/users/10132210/items/N3P3FBKB"],"itemData":{"id":1242,"type":"article-journal","container-title":"Journal of Transport &amp; Health","DOI":"10.1016/j.jth.2020.100844","ISSN":"22141405","journalAbbreviation":"Journal of Transport &amp; Health","language":"en","page":"100844","source":"DOI.org (Crossref)","title":"Does active travel make people healthier, or are healthy people more inclined to travel actively?","volume":"16","author":[{"family":"Kroesen","given":"Maarten"},{"family":"De Vos","given":"Jonas"}],"issued":{"date-parts":[["2020",3]]}}},{"id":1229,"uris":["http://zotero.org/users/10132210/items/VHATIAK3"],"itemData":{"id":1229,"type":"article-journal","container-title":"Frontiers in Public Health","DOI":"10.3389/fpubh.2020.575946","ISSN":"2296-2565","journalAbbreviation":"Front. Public Health","language":"en","page":"575946","source":"DOI.org (Crossref)","title":"The Urban Built Environment, Walking and Mental Health Outcomes Among Older Adults: A Pilot Study","title-short":"The Urban Built Environment, Walking and Mental Health Outcomes Among Older Adults","volume":"8","author":[{"family":"Roe","given":"Jenny"},{"family":"Mondschein","given":"Andrew"},{"family":"Neale","given":"Chris"},{"family":"Barnes","given":"Laura"},{"family":"Boukhechba","given":"Medhi"},{"family":"Lopez","given":"Stephanie"}],"issued":{"date-parts":[["2020",9,23]]}}}],"schema":"https://github.com/citation-style-language/schema/raw/master/csl-citation.json"} </w:instrText>
      </w:r>
      <w:r w:rsidR="003A53AD" w:rsidRPr="00587212">
        <w:rPr>
          <w:rFonts w:ascii="Times New Roman" w:hAnsi="Times New Roman"/>
          <w:bCs/>
          <w:szCs w:val="24"/>
        </w:rPr>
        <w:fldChar w:fldCharType="separate"/>
      </w:r>
      <w:r w:rsidR="00A5408A" w:rsidRPr="00587212">
        <w:rPr>
          <w:rFonts w:ascii="Times New Roman" w:hAnsi="Times New Roman"/>
        </w:rPr>
        <w:t>Chen et al., 2021</w:t>
      </w:r>
      <w:r w:rsidR="00435F79" w:rsidRPr="00587212">
        <w:rPr>
          <w:rFonts w:ascii="Times New Roman" w:hAnsi="Times New Roman"/>
        </w:rPr>
        <w:t xml:space="preserve">, and </w:t>
      </w:r>
      <w:r w:rsidR="00A5408A" w:rsidRPr="00587212">
        <w:rPr>
          <w:rFonts w:ascii="Times New Roman" w:hAnsi="Times New Roman"/>
        </w:rPr>
        <w:t>Chin et al., 2022</w:t>
      </w:r>
      <w:r w:rsidR="00435F79" w:rsidRPr="00587212">
        <w:rPr>
          <w:rFonts w:ascii="Times New Roman" w:hAnsi="Times New Roman"/>
        </w:rPr>
        <w:t>)</w:t>
      </w:r>
      <w:r w:rsidR="00A5408A" w:rsidRPr="00587212">
        <w:rPr>
          <w:rFonts w:ascii="Times New Roman" w:hAnsi="Times New Roman"/>
        </w:rPr>
        <w:t xml:space="preserve"> </w:t>
      </w:r>
      <w:r w:rsidR="003A53AD" w:rsidRPr="00587212">
        <w:rPr>
          <w:rFonts w:ascii="Times New Roman" w:hAnsi="Times New Roman"/>
          <w:bCs/>
          <w:szCs w:val="24"/>
        </w:rPr>
        <w:fldChar w:fldCharType="end"/>
      </w:r>
      <w:r w:rsidRPr="00587212">
        <w:rPr>
          <w:rFonts w:ascii="Times New Roman" w:hAnsi="Times New Roman"/>
          <w:bCs/>
          <w:szCs w:val="24"/>
        </w:rPr>
        <w:t xml:space="preserve"> </w:t>
      </w:r>
      <w:bookmarkEnd w:id="14"/>
      <w:r w:rsidRPr="00587212">
        <w:rPr>
          <w:rFonts w:ascii="Times New Roman" w:hAnsi="Times New Roman"/>
          <w:bCs/>
          <w:szCs w:val="24"/>
        </w:rPr>
        <w:t xml:space="preserve">and physical wellness (through </w:t>
      </w:r>
      <w:r w:rsidR="00D456D3" w:rsidRPr="00587212">
        <w:rPr>
          <w:rFonts w:ascii="Times New Roman" w:hAnsi="Times New Roman"/>
          <w:bCs/>
          <w:szCs w:val="24"/>
        </w:rPr>
        <w:t>reduced cardiovascular disease risks</w:t>
      </w:r>
      <w:r w:rsidR="004D33B4" w:rsidRPr="00587212">
        <w:rPr>
          <w:rFonts w:ascii="Times New Roman" w:hAnsi="Times New Roman"/>
          <w:bCs/>
          <w:szCs w:val="24"/>
        </w:rPr>
        <w:t>,</w:t>
      </w:r>
      <w:r w:rsidR="001C71A2" w:rsidRPr="00587212">
        <w:rPr>
          <w:rFonts w:ascii="Times New Roman" w:eastAsiaTheme="minorEastAsia" w:hAnsi="Times New Roman" w:hint="eastAsia"/>
          <w:bCs/>
          <w:szCs w:val="24"/>
          <w:lang w:eastAsia="ko-KR"/>
        </w:rPr>
        <w:t xml:space="preserve"> enhanced </w:t>
      </w:r>
      <w:r w:rsidR="00E91F2E" w:rsidRPr="00587212">
        <w:rPr>
          <w:rFonts w:ascii="Times New Roman" w:eastAsiaTheme="minorEastAsia" w:hAnsi="Times New Roman" w:hint="eastAsia"/>
          <w:bCs/>
          <w:szCs w:val="24"/>
          <w:lang w:eastAsia="ko-KR"/>
        </w:rPr>
        <w:t>control on</w:t>
      </w:r>
      <w:r w:rsidR="0048714E" w:rsidRPr="00587212">
        <w:rPr>
          <w:rFonts w:ascii="Times New Roman" w:eastAsiaTheme="minorEastAsia" w:hAnsi="Times New Roman" w:hint="eastAsia"/>
          <w:bCs/>
          <w:szCs w:val="24"/>
          <w:lang w:eastAsia="ko-KR"/>
        </w:rPr>
        <w:t xml:space="preserve"> blood </w:t>
      </w:r>
      <w:r w:rsidR="00E54322" w:rsidRPr="00587212">
        <w:rPr>
          <w:rFonts w:ascii="Times New Roman" w:eastAsiaTheme="minorEastAsia" w:hAnsi="Times New Roman" w:hint="eastAsia"/>
          <w:bCs/>
          <w:szCs w:val="24"/>
          <w:lang w:eastAsia="ko-KR"/>
        </w:rPr>
        <w:t>glucose</w:t>
      </w:r>
      <w:r w:rsidR="0048714E" w:rsidRPr="00587212">
        <w:rPr>
          <w:rFonts w:ascii="Times New Roman" w:eastAsiaTheme="minorEastAsia" w:hAnsi="Times New Roman" w:hint="eastAsia"/>
          <w:bCs/>
          <w:szCs w:val="24"/>
          <w:lang w:eastAsia="ko-KR"/>
        </w:rPr>
        <w:t xml:space="preserve"> and pressure</w:t>
      </w:r>
      <w:r w:rsidR="00662512" w:rsidRPr="00587212">
        <w:rPr>
          <w:rFonts w:ascii="Times New Roman" w:hAnsi="Times New Roman"/>
          <w:bCs/>
          <w:szCs w:val="24"/>
        </w:rPr>
        <w:t xml:space="preserve">; see, for example, </w:t>
      </w:r>
      <w:bookmarkStart w:id="15" w:name="_Hlk169960151"/>
      <w:r w:rsidR="0048314D" w:rsidRPr="00587212">
        <w:rPr>
          <w:rFonts w:ascii="Times New Roman" w:hAnsi="Times New Roman"/>
          <w:bCs/>
          <w:szCs w:val="24"/>
        </w:rPr>
        <w:fldChar w:fldCharType="begin"/>
      </w:r>
      <w:r w:rsidR="00130D33" w:rsidRPr="00587212">
        <w:rPr>
          <w:rFonts w:ascii="Times New Roman" w:hAnsi="Times New Roman"/>
          <w:bCs/>
          <w:szCs w:val="24"/>
        </w:rPr>
        <w:instrText xml:space="preserve"> ADDIN ZOTERO_ITEM CSL_CITATION {"citationID":"gGNm8MGI","properties":{"formattedCitation":"(Morita et al., 2019; Omura et al., 2019; Rizka et al., 2022; Yates et al., 2020)","plainCitation":"(Morita et al., 2019; Omura et al., 2019; Rizka et al., 2022; Yates et al., 2020)","dontUpdate":true,"noteIndex":0},"citationItems":[{"id":1234,"uris":["http://zotero.org/users/10132210/items/CCU8QVTG"],"itemData":{"id":1234,"type":"article-journal","abstract":"This study examined the effect of an exercise intervention on the composition of the intestinal microbiota in healthy elderly women. Thirty-two sedentary women that were aged 65 years and older participated in a 12-week, non-randomized comparative trial. The subjects were allocated to two groups receiving different exercise interventions, trunk muscle training (TM), or aerobic exercise training (AE). AE included brisk walking, i.e., at an intensity of ≥ 3 metabolic equivalents (METs). The composition of the intestinal microbiota in fecal samples was determined before and after the training period. We also assessed the daily physical activity using an accelerometer, trunk muscle strength by the modified Kraus–Weber (K-W) test, and cardiorespiratory fitness by a 6-min. walk test (6MWT). K-W test scores and distance achieved during the 6MWT (6MWD) improved in both groups. The relative abundance of intestinal Bacteroides only significantly increased in the AE group, particularly in subjects showing increases in the time spent in brisk walking. Overall, the increases in intestinal Bacteroides following the exercise intervention were associated with increases in 6MWD. In conclusion, aerobic exercise training that targets an increase of the time spent in brisk walking may increase intestinal Bacteroides in association with improved cardiorespiratory fitness in healthy elderly women.","container-title":"Nutrients","DOI":"10.3390/nu11040868","ISSN":"2072-6643","issue":"4","journalAbbreviation":"Nutrients","language":"en","license":"https://creativecommons.org/licenses/by/4.0/","page":"868","source":"DOI.org (Crossref)","title":"Aerobic Exercise Training with Brisk Walking Increases Intestinal Bacteroides in Healthy Elderly Women","volume":"11","author":[{"literal":"Morita"},{"literal":"Yokoyama"},{"literal":"Imai"},{"literal":"Takeda"},{"literal":"Ota"},{"literal":"Kawai"},{"literal":"Hisada"},{"literal":"Emoto"},{"literal":"Suzuki"},{"literal":"Okazaki"}],"issued":{"date-parts":[["2019",4,17]]}}},{"id":1236,"uris":["http://zotero.org/users/10132210/items/SQ7DCVWN"],"itemData":{"id":1236,"type":"article-journal","container-title":"Preventing Chronic Disease","DOI":"10.5888/pcd16.180690","ISSN":"1545-1151","journalAbbreviation":"Prev. Chronic Dis.","page":"180690","source":"DOI.org (Crossref)","title":"Walking as an Opportunity for Cardiovascular Disease Prevention","volume":"16","author":[{"family":"Omura","given":"John D."},{"family":"Ussery","given":"Emily N."},{"family":"Loustalot","given":"Fleetwood"},{"family":"Fulton","given":"Janet E."},{"family":"Carlson","given":"Susan A."}],"issued":{"date-parts":[["2019",5,30]]}}},{"id":1224,"uris":["http://zotero.org/users/10132210/items/BKLTP2T5"],"itemData":{"id":1224,"type":"article-journal","abstract":"Background: Walking exercise is a physical activity that stimulates various components of physical fitness. Particularly in the elderly, it improves blood circulation, strengthens bones, lowers blood pressure and glucose. Objective: This study aimed to determine the effect of walking exercise on blood pressure and blood glucose in the elderly. Method: This research was experimental research that used a quantitative approach. Participants were elderly aged 60 years with a history of hypertension and high blood glucose. The samples in this study were 34 people who were determined based on a simple random sampling technique. The experimental group was given physical activity treatment for walking 3x a week with mild to moderate intensity for 60 minutes for three weeks. The control group did not participate in any treatment. The walking program took place outside on a 1 mile/1,609 meter track. Before beginning the exercise program, participants should warm up for 5-10 minutes with a leisurely walk. In this case, the participant’s mileage is 1 mile. The instrument used to measure blood pressure in this study was an aneroid sphygmomanometer, while a glucometer was used to measure blood glucose levels. Results: This study found that: Based on the Mann-Whitney test, it showed that there was a significant effect of walking exercise on decreasing systolic blood pressure (p  0.005), diastolic blood pressure (p  0.018), and reducing blood sugar (p  0.031). Conclusion: Walking exercise has a significant effect on blood pressure and blood glucose in the elderly.","container-title":"International Journal of Kinesiology and Sports Science","DOI":"10.7575/aiac.ijkss.v.10n.1p.30","ISSN":"2202-946X","issue":"1","journalAbbreviation":"IJKSS","license":"http://creativecommons.org/licenses/by/4.0","page":"30-35","source":"DOI.org (Crossref)","title":"The Effect of Walking Exercise on Blood Pressure and Blood Glucose in the Elderly","volume":"10","author":[{"family":"Rizka","given":"Muhammad"},{"family":"Laksmi Ambardini","given":"Rachmah"},{"family":"Adhi Virama","given":"La Ode"},{"family":"Yudhistira","given":"Dewangga"}],"issued":{"date-parts":[["2022",1,30]]}}},{"id":1232,"uris":["http://zotero.org/users/10132210/items/55D4EUTQ"],"itemData":{"id":1232,"type":"article-journal","abstract":"Abstract\n            \n              Background\n              Prolonged sitting is common in older adults and is associated with insulin resistance and poor cardiometabolic health. We investigate whether breaking prolonged sitting with regular short bouts of standing or light walking improves postprandial metabolism in older white European and South Asian adults and whether effects are modified by ethnic group.\n            \n            \n              Methods\n              Thirty South Asian (15 women) and 30 white European (14 women) older adults (aged 65–79 years) undertook three experimental conditions in random order. (a) Prolonged sitting: continuous sitting during an observation period if 7.5 hours consuming two standardized mixed meals. (b) Standing breaks: sitting interrupted with 5 minutes of standing every 30 minutes (accumulating 60 minutes of standing over the observation period). (c) Walking breaks: sitting interrupted with 5 minutes of self-paced light walking every 30 minutes (accumulating 60 minutes of walking). Blood samples (glucose, insulin, triglycerides) and blood pressure were sampled regularly throughout each condition.\n            \n            \n              Results\n              Compared with prolonged sitting, walking breaks lowered postprandial insulin by 16.3 mU/L, (95% CI: 19.7, 22.0) with greater reductions (p = .029) seen in South Asians (22.4 mU/L; 12.4, 32.4) than white Europeans (10.3 mU/L; 5.9, 14.7). Glucose (0.3 mmol/L; 0.1, 0.5) and blood pressure (4 mm Hg; 2, 6), but not triglycerides, were lower with walking breaks, with no ethnic differences. Standing breaks did not improve any outcome.\n            \n            \n              Conclusions\n              Breaking prolonged sitting with short bouts of light walking, but not standing, resulted in clinically meaningful improvements in markers of metabolic health in older adults, with South Asians gaining a greater reduction in postprandial insulin.\n            \n            \n              Trial Registration\n              NCT02453204","container-title":"The Journals of Gerontology: Series A","DOI":"10.1093/gerona/gly252","ISSN":"1079-5006, 1758-535X","issue":"1","language":"en","license":"http://creativecommons.org/licenses/by/4.0/","page":"139-146","source":"DOI.org (Crossref)","title":"Metabolic Effects of Breaking Prolonged Sitting With Standing or Light Walking in Older South Asians and White Europeans: A Randomized Acute Study","title-short":"Metabolic Effects of Breaking Prolonged Sitting With Standing or Light Walking in Older South Asians and White Europeans","volume":"75","author":[{"family":"Yates","given":"Thomas"},{"family":"Edwardson","given":"Charlotte L"},{"family":"Celis-Morales","given":"Carlos"},{"family":"Biddle","given":"Stuart J H"},{"family":"Bodicoat","given":"Danielle"},{"family":"Davies","given":"Melanie J"},{"family":"Esliger","given":"Dale"},{"family":"Henson","given":"Joe"},{"family":"Kazi","given":"Aadil"},{"family":"Khunti","given":"Kamesh"},{"family":"Sattar","given":"Naveed"},{"family":"Sinclair","given":"Alan J"},{"family":"Rowlands","given":"Alex"},{"family":"Velayudhan","given":"Latha"},{"family":"Zaccardi","given":"Francesco"},{"family":"Gill","given":"Jason M R"}],"editor":[{"family":"Newman","given":"Anne"}],"issued":{"date-parts":[["2020",1,1]]}}}],"schema":"https://github.com/citation-style-language/schema/raw/master/csl-citation.json"} </w:instrText>
      </w:r>
      <w:r w:rsidR="0048314D" w:rsidRPr="00587212">
        <w:rPr>
          <w:rFonts w:ascii="Times New Roman" w:hAnsi="Times New Roman"/>
          <w:bCs/>
          <w:szCs w:val="24"/>
        </w:rPr>
        <w:fldChar w:fldCharType="separate"/>
      </w:r>
      <w:r w:rsidR="003D2BF9" w:rsidRPr="00587212">
        <w:rPr>
          <w:rFonts w:ascii="Times New Roman" w:hAnsi="Times New Roman"/>
        </w:rPr>
        <w:t>Morita et al., 2019</w:t>
      </w:r>
      <w:r w:rsidR="00435F79" w:rsidRPr="00587212">
        <w:rPr>
          <w:rFonts w:ascii="Times New Roman" w:hAnsi="Times New Roman"/>
        </w:rPr>
        <w:t>,</w:t>
      </w:r>
      <w:r w:rsidR="003D2BF9" w:rsidRPr="00587212">
        <w:rPr>
          <w:rFonts w:ascii="Times New Roman" w:hAnsi="Times New Roman"/>
        </w:rPr>
        <w:t xml:space="preserve"> Omura et al., 2019</w:t>
      </w:r>
      <w:r w:rsidR="00435F79" w:rsidRPr="00587212">
        <w:rPr>
          <w:rFonts w:ascii="Times New Roman" w:hAnsi="Times New Roman"/>
        </w:rPr>
        <w:t>,</w:t>
      </w:r>
      <w:r w:rsidR="003D2BF9" w:rsidRPr="00587212">
        <w:rPr>
          <w:rFonts w:ascii="Times New Roman" w:hAnsi="Times New Roman"/>
        </w:rPr>
        <w:t xml:space="preserve"> </w:t>
      </w:r>
      <w:r w:rsidR="00435F79" w:rsidRPr="00587212">
        <w:rPr>
          <w:rFonts w:ascii="Times New Roman" w:hAnsi="Times New Roman"/>
        </w:rPr>
        <w:t xml:space="preserve">Yates et al., 2020, and </w:t>
      </w:r>
      <w:r w:rsidR="003D2BF9" w:rsidRPr="00587212">
        <w:rPr>
          <w:rFonts w:ascii="Times New Roman" w:hAnsi="Times New Roman"/>
        </w:rPr>
        <w:t>Rizka et al., 2022)</w:t>
      </w:r>
      <w:r w:rsidR="0048314D" w:rsidRPr="00587212">
        <w:rPr>
          <w:rFonts w:ascii="Times New Roman" w:hAnsi="Times New Roman"/>
          <w:bCs/>
          <w:szCs w:val="24"/>
        </w:rPr>
        <w:fldChar w:fldCharType="end"/>
      </w:r>
      <w:bookmarkEnd w:id="15"/>
      <w:r w:rsidRPr="00587212">
        <w:rPr>
          <w:rFonts w:ascii="Times New Roman" w:hAnsi="Times New Roman"/>
          <w:bCs/>
          <w:szCs w:val="24"/>
        </w:rPr>
        <w:t xml:space="preserve">. </w:t>
      </w:r>
      <w:r w:rsidR="00DB2932" w:rsidRPr="00587212">
        <w:rPr>
          <w:rFonts w:ascii="Times New Roman" w:hAnsi="Times New Roman"/>
          <w:bCs/>
          <w:szCs w:val="24"/>
        </w:rPr>
        <w:t xml:space="preserve">Research on the influence of </w:t>
      </w:r>
      <w:r w:rsidR="00D456D3" w:rsidRPr="00587212">
        <w:rPr>
          <w:rFonts w:ascii="Times New Roman" w:hAnsi="Times New Roman"/>
          <w:bCs/>
          <w:szCs w:val="24"/>
        </w:rPr>
        <w:t>companionship</w:t>
      </w:r>
      <w:r w:rsidR="00662512" w:rsidRPr="00587212">
        <w:rPr>
          <w:rFonts w:ascii="Times New Roman" w:hAnsi="Times New Roman"/>
          <w:bCs/>
          <w:szCs w:val="24"/>
        </w:rPr>
        <w:t xml:space="preserve"> </w:t>
      </w:r>
      <w:r w:rsidR="00DB2932" w:rsidRPr="00587212">
        <w:rPr>
          <w:rFonts w:ascii="Times New Roman" w:hAnsi="Times New Roman"/>
          <w:bCs/>
          <w:szCs w:val="24"/>
        </w:rPr>
        <w:t>walking</w:t>
      </w:r>
      <w:r w:rsidR="00A64B26" w:rsidRPr="00587212">
        <w:rPr>
          <w:rFonts w:ascii="Times New Roman" w:hAnsi="Times New Roman"/>
          <w:bCs/>
          <w:szCs w:val="24"/>
        </w:rPr>
        <w:t xml:space="preserve">, </w:t>
      </w:r>
      <w:r w:rsidR="00662512" w:rsidRPr="00587212">
        <w:rPr>
          <w:rFonts w:ascii="Times New Roman" w:hAnsi="Times New Roman"/>
          <w:bCs/>
          <w:szCs w:val="24"/>
        </w:rPr>
        <w:t xml:space="preserve">especially among older adults, has also been quite extensive, </w:t>
      </w:r>
      <w:r w:rsidR="00A64B26" w:rsidRPr="00587212">
        <w:rPr>
          <w:rFonts w:ascii="Times New Roman" w:hAnsi="Times New Roman"/>
          <w:bCs/>
          <w:szCs w:val="24"/>
        </w:rPr>
        <w:t>suggesting reduced loneliness feelings in everyday life</w:t>
      </w:r>
      <w:r w:rsidR="00AA35CD" w:rsidRPr="00587212">
        <w:rPr>
          <w:rFonts w:ascii="Times New Roman" w:hAnsi="Times New Roman"/>
          <w:bCs/>
          <w:szCs w:val="24"/>
        </w:rPr>
        <w:t>,</w:t>
      </w:r>
      <w:r w:rsidR="00A64B26" w:rsidRPr="00587212">
        <w:rPr>
          <w:rFonts w:ascii="Times New Roman" w:hAnsi="Times New Roman"/>
          <w:bCs/>
          <w:szCs w:val="24"/>
        </w:rPr>
        <w:t xml:space="preserve"> </w:t>
      </w:r>
      <w:r w:rsidR="00AA35CD" w:rsidRPr="00587212">
        <w:rPr>
          <w:rFonts w:ascii="Times New Roman" w:hAnsi="Times New Roman"/>
          <w:bCs/>
          <w:szCs w:val="24"/>
        </w:rPr>
        <w:t>improved functional capability, lower body fat</w:t>
      </w:r>
      <w:r w:rsidR="00B5374C" w:rsidRPr="00587212">
        <w:rPr>
          <w:rFonts w:ascii="Times New Roman" w:hAnsi="Times New Roman"/>
          <w:bCs/>
          <w:szCs w:val="24"/>
        </w:rPr>
        <w:t xml:space="preserve"> indices</w:t>
      </w:r>
      <w:r w:rsidR="00AA35CD" w:rsidRPr="00587212">
        <w:rPr>
          <w:rFonts w:ascii="Times New Roman" w:hAnsi="Times New Roman"/>
          <w:bCs/>
          <w:szCs w:val="24"/>
        </w:rPr>
        <w:t xml:space="preserve">, </w:t>
      </w:r>
      <w:r w:rsidR="00B5374C" w:rsidRPr="00587212">
        <w:rPr>
          <w:rFonts w:ascii="Times New Roman" w:hAnsi="Times New Roman"/>
          <w:bCs/>
          <w:szCs w:val="24"/>
        </w:rPr>
        <w:t>better sleep</w:t>
      </w:r>
      <w:r w:rsidR="004D33B4" w:rsidRPr="00587212">
        <w:rPr>
          <w:rFonts w:ascii="Times New Roman" w:hAnsi="Times New Roman"/>
          <w:bCs/>
          <w:szCs w:val="24"/>
        </w:rPr>
        <w:t>, and enhanced happiness</w:t>
      </w:r>
      <w:r w:rsidR="00B5374C" w:rsidRPr="00587212">
        <w:rPr>
          <w:rFonts w:ascii="Times New Roman" w:hAnsi="Times New Roman"/>
          <w:bCs/>
          <w:szCs w:val="24"/>
        </w:rPr>
        <w:t xml:space="preserve"> </w:t>
      </w:r>
      <w:r w:rsidR="004D33B4" w:rsidRPr="00587212">
        <w:rPr>
          <w:rFonts w:ascii="Times New Roman" w:hAnsi="Times New Roman"/>
          <w:bCs/>
          <w:szCs w:val="24"/>
        </w:rPr>
        <w:t>mood</w:t>
      </w:r>
      <w:r w:rsidR="00051AC1" w:rsidRPr="00587212">
        <w:rPr>
          <w:rFonts w:ascii="Times New Roman" w:eastAsiaTheme="minorEastAsia" w:hAnsi="Times New Roman" w:hint="eastAsia"/>
          <w:bCs/>
          <w:szCs w:val="24"/>
          <w:lang w:eastAsia="ko-KR"/>
        </w:rPr>
        <w:t xml:space="preserve"> (</w:t>
      </w:r>
      <w:r w:rsidR="00051AC1" w:rsidRPr="00587212">
        <w:rPr>
          <w:rFonts w:ascii="Times New Roman" w:eastAsiaTheme="minorEastAsia" w:hAnsi="Times New Roman"/>
          <w:bCs/>
          <w:szCs w:val="24"/>
          <w:lang w:eastAsia="ko-KR"/>
        </w:rPr>
        <w:t>see, for examp</w:t>
      </w:r>
      <w:r w:rsidR="00152F8C" w:rsidRPr="00587212">
        <w:rPr>
          <w:rFonts w:ascii="Times New Roman" w:eastAsiaTheme="minorEastAsia" w:hAnsi="Times New Roman"/>
          <w:bCs/>
          <w:szCs w:val="24"/>
          <w:lang w:eastAsia="ko-KR"/>
        </w:rPr>
        <w:t>le</w:t>
      </w:r>
      <w:bookmarkStart w:id="16" w:name="_Hlk169960193"/>
      <w:r w:rsidR="00152F8C" w:rsidRPr="00587212">
        <w:rPr>
          <w:rFonts w:ascii="Times New Roman" w:eastAsiaTheme="minorEastAsia" w:hAnsi="Times New Roman"/>
          <w:bCs/>
          <w:szCs w:val="24"/>
          <w:lang w:eastAsia="ko-KR"/>
        </w:rPr>
        <w:t xml:space="preserve">, </w:t>
      </w:r>
      <w:r w:rsidR="00435F79" w:rsidRPr="00587212">
        <w:rPr>
          <w:rFonts w:ascii="Times New Roman" w:hAnsi="Times New Roman"/>
        </w:rPr>
        <w:t xml:space="preserve">Zhu </w:t>
      </w:r>
      <w:r w:rsidR="00435F79" w:rsidRPr="00587212">
        <w:rPr>
          <w:rFonts w:ascii="Times New Roman" w:eastAsiaTheme="minorEastAsia" w:hAnsi="Times New Roman"/>
          <w:lang w:eastAsia="ko-KR"/>
        </w:rPr>
        <w:t>and</w:t>
      </w:r>
      <w:r w:rsidR="00435F79" w:rsidRPr="00587212">
        <w:rPr>
          <w:rFonts w:ascii="Times New Roman" w:hAnsi="Times New Roman"/>
        </w:rPr>
        <w:t xml:space="preserve"> Fan, 2018, </w:t>
      </w:r>
      <w:r w:rsidR="00152F8C" w:rsidRPr="00587212">
        <w:rPr>
          <w:rFonts w:ascii="Times New Roman" w:eastAsiaTheme="minorEastAsia" w:hAnsi="Times New Roman"/>
          <w:bCs/>
          <w:szCs w:val="24"/>
          <w:lang w:eastAsia="ko-KR"/>
        </w:rPr>
        <w:fldChar w:fldCharType="begin"/>
      </w:r>
      <w:r w:rsidR="00130D33" w:rsidRPr="00587212">
        <w:rPr>
          <w:rFonts w:ascii="Times New Roman" w:eastAsiaTheme="minorEastAsia" w:hAnsi="Times New Roman"/>
          <w:bCs/>
          <w:szCs w:val="24"/>
          <w:lang w:eastAsia="ko-KR"/>
        </w:rPr>
        <w:instrText xml:space="preserve"> ADDIN ZOTERO_ITEM CSL_CITATION {"citationID":"Kar5nbJG","properties":{"formattedCitation":"(G\\uc0\\u252{}m\\uc0\\u252{}\\uc0\\u351{} \\uc0\\u350{}ekerci &amp; K\\uc0\\u305{}r Bi\\uc0\\u231{}er, 2019; Kritz et al., 2021; Mizuta et al., 2023; Zhu &amp; Fan, 2018)","plainCitation":"(Gümüş Şekerci &amp; Kır Biçer, 2019; Kritz et al., 2021; Mizuta et al., 2023; Zhu &amp; Fan, 2018)","dontUpdate":true,"noteIndex":0},"citationItems":[{"id":1219,"uris":["http://zotero.org/users/10132210/items/VIHI7YXL"],"itemData":{"id":1219,"type":"article-journal","note":"publisher: Türk Geriatri Derneği","title":"The effect of walking exercise on quality of life and sleep in elderly individuals: Randomized controlled study","author":[{"family":"Gümüş Şekerci","given":"Yasemin"},{"family":"Kır Biçer","given":"Emine"}],"issued":{"date-parts":[["2019"]]}}},{"id":947,"uris":["http://zotero.org/users/10132210/items/9F5FSKLX"],"itemData":{"id":947,"type":"article-journal","abstract":"The authors examined whether purposeful walking with peers at least once a week contributes to better behavioral and health outcomes in older adults than primarily walking alone. The authors used a longitudinal cohort design and recruited participants aged 60 years and older (N = 136) at the start of a 16-week walking intervention. Participants who walked on average at least once a week in the ﬁnal 8 weeks of the intervention were included in the analysis (N = 79; 66 females, Mage [SD] = 77.73 [6.91]). The authors found that autonomous motivation, walking self-efﬁcacy, functional capacity, body fat, and physical activity improved more in the walking with peers group compared with the walking alone group, after controlling for whether participants lived alone/with others and their health status. The results extend current literature by providing longitudinal evidence for the added beneﬁts of regular peer-accompanied walking in older adults and highlight the importance of investing in peer-supported interventions.","container-title":"Journal of Aging and Physical Activity","DOI":"10.1123/japa.2020-0091","ISSN":"1063-8652, 1543-267X","issue":"3","language":"en","page":"455-465","source":"DOI.org (Crossref)","title":"“It’s Better Together”: A Nested Longitudinal Study Examining the Benefits of Walking Regularly With Peers Versus Primarily Alone in Older Adults","title-short":"“It’s Better Together”","volume":"29","author":[{"family":"Kritz","given":"Marlene"},{"family":"Thøgersen-Ntoumani","given":"Cecilie"},{"family":"Mullan","given":"Barbara"},{"family":"Stathi","given":"Afroditi"},{"family":"Ntoumanis","given":"Nikos"}],"issued":{"date-parts":[["2021",6,1]]}}},{"id":1217,"uris":["http://zotero.org/users/10132210/items/2D2N6PF3"],"itemData":{"id":1217,"type":"article-journal","abstract":"Background  Older adults are more likely to experience loneliness than younger people. Moreover, greater loneliness in older adults is associated with poor mental health and increased risk of cardiovascular disease and mortality. Physical activity is an effective intervention for reducing loneliness among older adults. Among physical activities, walking is suitable for older adults, because it is easy and safe to incorporate into daily life. We hypothesized that the association between walking and loneliness depends on the presence of others and the number of people present. The aim of this study is to investigate the association between the context of walking (the number of walkers) and loneliness among community-dwelling older adults.\nMethods  This cross-sectional study included 173 community-dwelling older adults aged 65 or older. Context of walking was classified as non-walking, walking alone (days of walking alone &gt; days of walking with someone), and walking with someone (days of walking alone </w:instrText>
      </w:r>
      <w:r w:rsidR="00130D33" w:rsidRPr="00587212">
        <w:rPr>
          <w:rFonts w:ascii="Times New Roman" w:eastAsiaTheme="minorEastAsia" w:hAnsi="Times New Roman" w:hint="eastAsia"/>
          <w:bCs/>
          <w:szCs w:val="24"/>
          <w:lang w:eastAsia="ko-KR"/>
        </w:rPr>
        <w:instrText>≤</w:instrText>
      </w:r>
      <w:r w:rsidR="00130D33" w:rsidRPr="00587212">
        <w:rPr>
          <w:rFonts w:ascii="Times New Roman" w:eastAsiaTheme="minorEastAsia" w:hAnsi="Times New Roman"/>
          <w:bCs/>
          <w:szCs w:val="24"/>
          <w:lang w:eastAsia="ko-KR"/>
        </w:rPr>
        <w:instrText xml:space="preserve"> days of walking with someone). Loneliness was measured using the Japanese version of the University of California Los Angeles Loneliness Scale. A linear regression model was used to investigate the relationship between context of walking and loneliness, adjusted for age, sex, living situation, social participation, and physical activity excluding walking.\nResults  Data from 171 community-dwelling older adults (mean age = 78.0 years, 59.6% women) were analyzed. After adjustment, walking with someone was associated with lower loneliness than non-walking (adjusted β: -0.51, 95% confidence interval: -1.00, -0.01).\nConclusions  The study’s findings suggest that walking with a companion may effectively prevent or reduce loneliness among older adults.","container-title":"BMC Geriatrics","DOI":"10.1186/s12877-023-04043-5","ISSN":"1471-2318","issue":"1","journalAbbreviation":"BMC Geriatr","language":"en","page":"326","source":"DOI.org (Crossref)","title":"Context of walking and loneliness among community-dwelling older adults: a cross-sectional study","title-short":"Context of walking and loneliness among community-dwelling older adults","volume":"23","author":[{"family":"Mizuta","given":"Sachiko"},{"family":"Uchida","given":"Kazuaki"},{"family":"Sawa","given":"Ryuichi"},{"family":"Nakamura","given":"Junya"},{"family":"Encho","given":"Haruhi"},{"family":"Akisue","given":"Toshihiro"},{"family":"Ono","given":"Rei"}],"issued":{"date-parts":[["2023",5,25]]}}},{"id":951,"uris":["http://zotero.org/users/10132210/items/UXEPDDRM"],"itemData":{"id":951,"type":"article-journal","abstract":"Positive emotions have long-lasting beneﬁts for human development. Understanding the connections between daily travel behavior and emotional well-being will not only help transportation practitioners identify concrete strategies to improve user experiences of transportation services, but also help health practitioners to identify innovative solutions for improving public health. Prior research on the subject had focused on limited travel behavior dimensions such as travel mode and/or travel duration. Other dimensions such as travel purpose and travel companionship have received limited attention. Using data from the 2012–2013 American Time Use Survey, this paper applied the generalized ordered logistic regression approach and examined how the mode, duration, purpose, and companionship characteristics of a trip shape six diﬀerent emotions during the trip, including happy, meaningful, tired, stressful, sad, and pain. After controlling for personal demographics, health conditions, and residential locations, we ﬁnd that biking is the happiest mode; public transit is the least happy and least meaningful; and utilitarian walking for transportation is associated with all four negative emotions. Trip duration has a negative association with happiness and a positive association with stress. Travel for discretionary purposes such as leisure, exercise, and community activities is generally associated with higher levels of positive emotions and lower levels of negative emotions than travel for work or household maintenance. Trips with eating and drinking purposes appear to be the happiest and trips with the purpose of spiritual and/or volunteering activities appear to be the most meaningful. Travel with family especially children or travel with friends is happier and more meaningful than travel alone. Transportation planners in the U.S. are recommended to promote biking behavior, improve transit user experiences, and implement spatial planning strategies for creating a built environment conducive to shorter trips, more discretionary trips, and more joint trips with family and friends.","container-title":"Transportation Research Part A: Policy and Practice","DOI":"10.1016/j.tra.2018.09.019","ISSN":"09658564","journalAbbreviation":"Transportation Research Part A: Policy and Practice","language":"en","page":"360-373","source":"DOI.org (Crossref)","title":"Daily travel behavior and emotional well-being: Effects of trip mode, duration, purpose, and companionship","title-short":"Daily travel behavior and emotional well-being","volume":"118","author":[{"family":"Zhu","given":"Jing"},{"family":"Fan","given":"Yingling"}],"issued":{"date-parts":[["2018",12]]}}}],"schema":"https://github.com/citation-style-language/schema/raw/master/csl-citation.json"} </w:instrText>
      </w:r>
      <w:r w:rsidR="00152F8C" w:rsidRPr="00587212">
        <w:rPr>
          <w:rFonts w:ascii="Times New Roman" w:eastAsiaTheme="minorEastAsia" w:hAnsi="Times New Roman"/>
          <w:bCs/>
          <w:szCs w:val="24"/>
          <w:lang w:eastAsia="ko-KR"/>
        </w:rPr>
        <w:fldChar w:fldCharType="separate"/>
      </w:r>
      <w:r w:rsidR="00BE6407" w:rsidRPr="00587212">
        <w:rPr>
          <w:rFonts w:ascii="Times New Roman" w:hAnsi="Times New Roman"/>
        </w:rPr>
        <w:t xml:space="preserve">Gümüş Şekerci </w:t>
      </w:r>
      <w:r w:rsidR="00BE6407" w:rsidRPr="00587212">
        <w:rPr>
          <w:rFonts w:ascii="Times New Roman" w:eastAsiaTheme="minorEastAsia" w:hAnsi="Times New Roman"/>
          <w:lang w:eastAsia="ko-KR"/>
        </w:rPr>
        <w:t>and</w:t>
      </w:r>
      <w:r w:rsidR="00BE6407" w:rsidRPr="00587212">
        <w:rPr>
          <w:rFonts w:ascii="Times New Roman" w:hAnsi="Times New Roman"/>
        </w:rPr>
        <w:t xml:space="preserve"> Kır Biçer, 2019</w:t>
      </w:r>
      <w:r w:rsidR="00435F79" w:rsidRPr="00587212">
        <w:rPr>
          <w:rFonts w:ascii="Times New Roman" w:hAnsi="Times New Roman"/>
        </w:rPr>
        <w:t>,</w:t>
      </w:r>
      <w:r w:rsidR="00BE6407" w:rsidRPr="00587212">
        <w:rPr>
          <w:rFonts w:ascii="Times New Roman" w:hAnsi="Times New Roman"/>
        </w:rPr>
        <w:t xml:space="preserve"> Kritz et al., 2021</w:t>
      </w:r>
      <w:r w:rsidR="00435F79" w:rsidRPr="00587212">
        <w:rPr>
          <w:rFonts w:ascii="Times New Roman" w:hAnsi="Times New Roman"/>
        </w:rPr>
        <w:t>, and</w:t>
      </w:r>
      <w:r w:rsidR="00BE6407" w:rsidRPr="00587212">
        <w:rPr>
          <w:rFonts w:ascii="Times New Roman" w:hAnsi="Times New Roman"/>
        </w:rPr>
        <w:t xml:space="preserve"> Mizuta et al., 2023)</w:t>
      </w:r>
      <w:r w:rsidR="00152F8C" w:rsidRPr="00587212">
        <w:rPr>
          <w:rFonts w:ascii="Times New Roman" w:eastAsiaTheme="minorEastAsia" w:hAnsi="Times New Roman"/>
          <w:bCs/>
          <w:szCs w:val="24"/>
          <w:lang w:eastAsia="ko-KR"/>
        </w:rPr>
        <w:fldChar w:fldCharType="end"/>
      </w:r>
      <w:bookmarkEnd w:id="16"/>
      <w:r w:rsidR="00E63022" w:rsidRPr="00587212">
        <w:rPr>
          <w:rFonts w:ascii="Times New Roman" w:hAnsi="Times New Roman"/>
          <w:bCs/>
          <w:szCs w:val="24"/>
        </w:rPr>
        <w:t>.</w:t>
      </w:r>
      <w:r w:rsidR="00AA35CD" w:rsidRPr="00587212">
        <w:rPr>
          <w:rFonts w:ascii="Times New Roman" w:hAnsi="Times New Roman"/>
          <w:bCs/>
          <w:szCs w:val="24"/>
        </w:rPr>
        <w:t xml:space="preserve"> </w:t>
      </w:r>
      <w:r w:rsidR="00A64B26" w:rsidRPr="00587212">
        <w:rPr>
          <w:rFonts w:ascii="Times New Roman" w:hAnsi="Times New Roman"/>
          <w:bCs/>
          <w:szCs w:val="24"/>
        </w:rPr>
        <w:t xml:space="preserve">Extensive </w:t>
      </w:r>
      <w:r w:rsidR="00E63022" w:rsidRPr="00587212">
        <w:rPr>
          <w:rFonts w:ascii="Times New Roman" w:hAnsi="Times New Roman"/>
          <w:bCs/>
          <w:szCs w:val="24"/>
        </w:rPr>
        <w:t xml:space="preserve">and </w:t>
      </w:r>
      <w:r w:rsidR="004D33B4" w:rsidRPr="00587212">
        <w:rPr>
          <w:rFonts w:ascii="Times New Roman" w:hAnsi="Times New Roman"/>
          <w:bCs/>
          <w:szCs w:val="24"/>
        </w:rPr>
        <w:t xml:space="preserve">relatively </w:t>
      </w:r>
      <w:r w:rsidR="00A64B26" w:rsidRPr="00587212">
        <w:rPr>
          <w:rFonts w:ascii="Times New Roman" w:hAnsi="Times New Roman"/>
          <w:bCs/>
          <w:szCs w:val="24"/>
        </w:rPr>
        <w:t xml:space="preserve">recent meta-reviews of the benefits of walking </w:t>
      </w:r>
      <w:r w:rsidR="00B5374C" w:rsidRPr="00587212">
        <w:rPr>
          <w:rFonts w:ascii="Times New Roman" w:hAnsi="Times New Roman"/>
          <w:bCs/>
          <w:szCs w:val="24"/>
        </w:rPr>
        <w:t xml:space="preserve">as a physical activity </w:t>
      </w:r>
      <w:r w:rsidR="00A64B26" w:rsidRPr="00587212">
        <w:rPr>
          <w:rFonts w:ascii="Times New Roman" w:hAnsi="Times New Roman"/>
          <w:bCs/>
          <w:szCs w:val="24"/>
        </w:rPr>
        <w:t>for health and quality</w:t>
      </w:r>
      <w:r w:rsidR="00A64B26" w:rsidRPr="00613B7F">
        <w:rPr>
          <w:rFonts w:ascii="Times New Roman" w:hAnsi="Times New Roman"/>
          <w:bCs/>
          <w:szCs w:val="24"/>
        </w:rPr>
        <w:t xml:space="preserve">-of-life reasons, especially for older </w:t>
      </w:r>
      <w:r w:rsidR="00A64B26" w:rsidRPr="00587212">
        <w:rPr>
          <w:rFonts w:ascii="Times New Roman" w:hAnsi="Times New Roman"/>
          <w:bCs/>
          <w:szCs w:val="24"/>
        </w:rPr>
        <w:t xml:space="preserve">adults, are available in </w:t>
      </w:r>
      <w:bookmarkStart w:id="17" w:name="_Hlk169960229"/>
      <w:r w:rsidR="00435F79" w:rsidRPr="00587212">
        <w:rPr>
          <w:rFonts w:ascii="Times New Roman" w:hAnsi="Times New Roman"/>
        </w:rPr>
        <w:t xml:space="preserve">Meads </w:t>
      </w:r>
      <w:r w:rsidR="00435F79" w:rsidRPr="00587212">
        <w:rPr>
          <w:rFonts w:ascii="Times New Roman" w:eastAsiaTheme="minorEastAsia" w:hAnsi="Times New Roman"/>
          <w:lang w:eastAsia="ko-KR"/>
        </w:rPr>
        <w:t>and</w:t>
      </w:r>
      <w:r w:rsidR="00435F79" w:rsidRPr="00587212">
        <w:rPr>
          <w:rFonts w:ascii="Times New Roman" w:hAnsi="Times New Roman"/>
        </w:rPr>
        <w:t xml:space="preserve"> Exley </w:t>
      </w:r>
      <w:r w:rsidR="00435F79" w:rsidRPr="00587212">
        <w:rPr>
          <w:rFonts w:ascii="Times New Roman" w:eastAsiaTheme="minorEastAsia" w:hAnsi="Times New Roman"/>
          <w:lang w:eastAsia="ko-KR"/>
        </w:rPr>
        <w:t>(</w:t>
      </w:r>
      <w:r w:rsidR="00435F79" w:rsidRPr="00587212">
        <w:rPr>
          <w:rFonts w:ascii="Times New Roman" w:hAnsi="Times New Roman"/>
        </w:rPr>
        <w:t>2018</w:t>
      </w:r>
      <w:r w:rsidR="00435F79" w:rsidRPr="00587212">
        <w:rPr>
          <w:rFonts w:ascii="Times New Roman" w:eastAsiaTheme="minorEastAsia" w:hAnsi="Times New Roman"/>
          <w:lang w:eastAsia="ko-KR"/>
        </w:rPr>
        <w:t xml:space="preserve">), </w:t>
      </w:r>
      <w:r w:rsidR="00ED17B2" w:rsidRPr="00587212">
        <w:rPr>
          <w:rFonts w:ascii="Times New Roman" w:hAnsi="Times New Roman"/>
          <w:bCs/>
          <w:szCs w:val="24"/>
        </w:rPr>
        <w:fldChar w:fldCharType="begin"/>
      </w:r>
      <w:r w:rsidR="00130D33" w:rsidRPr="00587212">
        <w:rPr>
          <w:rFonts w:ascii="Times New Roman" w:hAnsi="Times New Roman"/>
          <w:bCs/>
          <w:szCs w:val="24"/>
        </w:rPr>
        <w:instrText xml:space="preserve"> ADDIN ZOTERO_ITEM CSL_CITATION {"citationID":"YNmhRLDt","properties":{"formattedCitation":"(Bushman, 2020; Marquez et al., 2020; Meads &amp; Exley, 2018; Sithichoksakulchai et al., 2022; Wei et al., 2022)","plainCitation":"(Bushman, 2020; Marquez et al., 2020; Meads &amp; Exley, 2018; Sithichoksakulchai et al., 2022; Wei et al., 2022)","dontUpdate":true,"noteIndex":0},"citationItems":[{"id":1223,"uris":["http://zotero.org/users/10132210/items/KLJ2L284"],"itemData":{"id":1223,"type":"article-journal","container-title":"ACSM'S Health &amp; Fitness Journal","DOI":"10.1249/FIT.0000000000000533","ISSN":"1536-593X, 1091-5397","issue":"1","journalAbbreviation":"ACSM's Health and Fitness Journal","language":"en","page":"5-10","source":"DOI.org (Crossref)","title":"Exercise for Prevention of Chronic Diseases","volume":"24","author":[{"family":"Bushman","given":"Barbara A."}],"issued":{"date-parts":[["2020",1]]}}},{"id":1216,"uris":["http://zotero.org/users/10132210/items/XRCC2S6V"],"itemData":{"id":1216,"type":"article-journal","abstract":"Maintaining or improving quality of life (QoL) and well-being is a universal goal across the lifespan. Being physically active has been suggested as one way to enhance QoL and well-being. In this systematic review, conducted in part for the 2018 U.S. Health and Human Services Physical Activity Guidelines for Americans Scientific Advisory Committee Report, we examined the relationship between physical activity (PA) and QoL and well-being experienced by the general population across the lifespan and by persons with psychiatric and neurologic conditions. Systematic reviews, meta-analyses, and pooled analyses from 2006 to 2018 were used for the evidence base. Strong evidence (predominantly from randomized controlled trials [RCTs]) demonstrated that, for adults aged 18–65 years and older adults (primarily 65 years and older), PA improves QoL and well-being when compared with minimal or no-treatment controls. Moderate evidence indicated that PA improves QoL and well-being in individuals with schizophrenia and Parkinson’s disease, and limited evidence indicated that PA improves QoL and well-being for youth and for adults with major clinical depression or bipolar disorder. Insufficient evidence existed for individuals with dementia because of a small number of studies with mixed results. Future highquality research designs should include RCTs involving longer interventions testing different modes and intensities of PA in diverse populations of healthy people and individuals with cognitive (e.g., dementia) and mental health conditions (e.g., schizophrenia) to precisely characterize the effects of different forms of PA on aspects of QoL and well-being.","container-title":"Translational Behavioral Medicine","DOI":"10.1093/tbm/ibz198","ISSN":"1869-6716, 1613-9860","issue":"5","language":"en","license":"https://academic.oup.com/journals/pages/open_access/funder_policies/chorus/standard_publication_model","page":"1098-1109","source":"DOI.org (Crossref)","title":"A systematic review of physical activity and quality of life and well-being","volume":"10","author":[{"family":"Marquez","given":"David X"},{"family":"Aguiñaga","given":"Susan"},{"family":"Vásquez","given":"Priscilla M"},{"family":"Conroy","given":"David E"},{"family":"Erickson","given":"Kirk I"},{"family":"Hillman","given":"Charles"},{"family":"Stillman","given":"Chelsea M"},{"family":"Ballard","given":"Rachel M"},{"family":"Sheppard","given":"Bonny Bloodgood"},{"family":"Petruzzello","given":"Steven J"},{"family":"King","given":"Abby C"},{"family":"Powell","given":"Kenneth E"}],"issued":{"date-parts":[["2020",10,12]]}}},{"id":1112,"uris":["http://zotero.org/users/10132210/items/SRAJCT5X"],"itemData":{"id":1112,"type":"article-journal","abstract":"Background: Walking is a good way to meet physical activity guidelines. We examined the effectiveness of walking in groups compared with walking alone or inactive controls in physically healthy adults on physical activity and quality of life. (PROSPERO CRD42016033752). Methods: We searched Medline, Embase, Cinahl, Web of Knowledge Science Citation Index, and Cochrane CENTRAL until March 2016, for any comparative studies, in physically healthy adults, of walking in groups compared with inactive controls or walking alone, reporting any measure of physical activity. We searched references from recent relevant systematic reviews. Two reviewers checked study eligibility and independently extracted data. Disagreements were resolved through discussion. Quality was assessed using likelihood of selection, performance, attrition, and detection biases. Meta-analysis was conducted using Review Manager 5.3. Results: From 1,404 citations, 18 studies were included in qualitative synthesis and 10 in meta-analyses. Fourteen compared group walking to inactive controls and four to walking alone. Eight reported more than one measure of physical activity, none reported according to current guidelines. Group walking compared with inactive controls increased follow-up physical activity (9 randomized controlled trials, standardized mean difference [SMD] 0.58 [95 percent conﬁdence interval {CI}, 0.34–0.82] to SMD 0.43 [95 percent CI, 0.20–0.66]). Compared with walking alone, studies were too few and too heterogeneous to conduct meta-analysis, but the trend was improved physical activity at follow-up for group walking participants. Seven (all inactive control) reported quality-of-life: ﬁve showed statistically signiﬁcantly improved scores. Discussion: Better evidence may encourage government policy to promote walking in groups. Standardized physical activity outcomes need to be reported in research.","container-title":"International Journal of Technology Assessment in Health Care","DOI":"10.1017/S0266462317001088","ISSN":"0266-4623, 1471-6348","issue":"1","journalAbbreviation":"Int J Technol Assess Health Care","language":"en","license":"https://www.cambridge.org/core/terms","page":"27-37","source":"DOI.org (Crossref)","title":"A Systematic Review of Group Walking in Physically Healthy People to Promote Physical Activity","volume":"34","author":[{"family":"Meads","given":"Catherine"},{"family":"Exley","given":"Josephine"}],"issued":{"date-parts":[["2018"]]}}},{"id":1220,"uris":["http://zotero.org/users/10132210/items/KEH2LKBJ"],"itemData":{"id":1220,"type":"article-journal","abstract":"Physical activity is positively associated with the health of older adults. Walking is a simple activity that can be applied to older adults. This article aims to systematically review and meta-analyze the effects of walking on physical fitness in older adults. Studies were searched from 13 databases. Results showed that walking could improve aerobic endurance (21.04, 95% CI [13.82, 28.27]), lower body strength (2.77, 95% CI [1.46, 4.09]), static balance (6.07, 95% CI [3.34, 8.79]), and agility and dynamic balance (1.52, 95% CI [0.23, 2.80]). Walking is effective and should be promoted to improve the physical function of older adults.","container-title":"Topics in Geriatric Rehabilitation","DOI":"10.1097/TGR.0000000000000351","ISSN":"0882-7524","issue":"2","language":"en","page":"101-109","source":"DOI.org (Crossref)","title":"Walking Promotes Physical Fitness of Community-Dwelling Older Adults: A Systematic Review and Meta-analysis","title-short":"Walking Promotes Physical Fitness of Community-Dwelling Older Adults","volume":"38","author":[{"family":"Sithichoksakulchai","given":"Siriluk"},{"family":"Chen","given":"Meng-Chin"},{"family":"Chen","given":"Kuei-Min"}],"issued":{"date-parts":[["2022",4]]}}},{"id":1212,"uris":["http://zotero.org/users/10132210/items/7QFRHHHF"],"itemData":{"id":1212,"type":"article-journal","abstract":"Objective: To systematically evaluate the effects of physical exercise on the quality of life (QOL) of healthy older adults in China.\nMethods: Relevant articles published until December 2021 were retrieved from China National Knowledge Infrastructure, Wanfang, China Science and Technology Journal Database, PubMed, EBSCO, Web of Science, and the Library of Congress. Inclusion criteria were studies in which the subjects were healthy Chinese older adults (aged ≥ 60 years), the reported sample size was clear, and the study design was a randomized controlled trial or a research study. In addition, studies were included if they reported the use of at least one QOL questionnaire and investigated at least one form of physical exercise.\nResults: In total, 19 studies met the inclusion criteria, which included six studies that used comprehensive physical exercise type as an intervention and 13 studies that used regular physical exercise as an intervention. All 19 studies compared intervention and control groups, of which 12 (63%) were investigative studies and seven (37%) were experimental studies. Of the experimental studies, ﬁve used a positive control group and two used a negative control group. All 19 studies reported that physical exercise had varying degrees of positive effects on the QOL in older adults. Body–mind exercise was effective in improving the physical and mental health (MH) of older adults, whereas Xiyangcao only had a positive effect on physical health. Compared with no exercise or other exercise (exercise not used in the intervention group), the exercise group in the survey had a positive effect on the QOL of older adults. Regardless of the type of control group used, the exercise group in the experimental studies showed a positive effect of exercise on the QOL of older adults.\nConclusion: Physical exercise has a positive impact on the QOL of healthy older adults. However, due to the wide and varied scope of the included studies, more randomized controlled trials are needed to examine the effects of different types, intensities, durations, and the frequency of exercise on QOL.","container-title":"Frontiers in Psychology","DOI":"10.3389/fpsyg.2022.895373","ISSN":"1664-1078","journalAbbreviation":"Front. Psychol.","language":"en","page":"895373","source":"DOI.org (Crossref)","title":"The Effects of Physical Exercise on the Quality of Life of Healthy Older Adults in China: A Systematic Review","title-short":"The Effects of Physical Exercise on the Quality of Life of Healthy Older Adults in China","volume":"13","author":[{"family":"Wei","given":"Lin"},{"family":"Hu","given":"Yongmei"},{"family":"Tao","given":"Yingying"},{"family":"Hu","given":"Rui"},{"family":"Zhang","given":"Liancheng"}],"issued":{"date-parts":[["2022",6,20]]}}}],"schema":"https://github.com/citation-style-language/schema/raw/master/csl-citation.json"} </w:instrText>
      </w:r>
      <w:r w:rsidR="00ED17B2" w:rsidRPr="00587212">
        <w:rPr>
          <w:rFonts w:ascii="Times New Roman" w:hAnsi="Times New Roman"/>
          <w:bCs/>
          <w:szCs w:val="24"/>
        </w:rPr>
        <w:fldChar w:fldCharType="separate"/>
      </w:r>
      <w:r w:rsidR="00ED17B2" w:rsidRPr="00587212">
        <w:rPr>
          <w:rFonts w:ascii="Times New Roman" w:hAnsi="Times New Roman"/>
        </w:rPr>
        <w:t>Bushman</w:t>
      </w:r>
      <w:r w:rsidR="001404F8" w:rsidRPr="00587212">
        <w:rPr>
          <w:rFonts w:ascii="Times New Roman" w:eastAsiaTheme="minorEastAsia" w:hAnsi="Times New Roman"/>
          <w:lang w:eastAsia="ko-KR"/>
        </w:rPr>
        <w:t xml:space="preserve"> (</w:t>
      </w:r>
      <w:r w:rsidR="00ED17B2" w:rsidRPr="00587212">
        <w:rPr>
          <w:rFonts w:ascii="Times New Roman" w:hAnsi="Times New Roman"/>
        </w:rPr>
        <w:t>2020</w:t>
      </w:r>
      <w:r w:rsidR="001404F8" w:rsidRPr="00587212">
        <w:rPr>
          <w:rFonts w:ascii="Times New Roman" w:eastAsiaTheme="minorEastAsia" w:hAnsi="Times New Roman"/>
          <w:lang w:eastAsia="ko-KR"/>
        </w:rPr>
        <w:t>),</w:t>
      </w:r>
      <w:r w:rsidR="00ED17B2" w:rsidRPr="00587212">
        <w:rPr>
          <w:rFonts w:ascii="Times New Roman" w:hAnsi="Times New Roman"/>
        </w:rPr>
        <w:t xml:space="preserve"> Marquez et al. </w:t>
      </w:r>
      <w:r w:rsidR="001404F8" w:rsidRPr="00587212">
        <w:rPr>
          <w:rFonts w:ascii="Times New Roman" w:eastAsiaTheme="minorEastAsia" w:hAnsi="Times New Roman"/>
          <w:lang w:eastAsia="ko-KR"/>
        </w:rPr>
        <w:t>(</w:t>
      </w:r>
      <w:r w:rsidR="00ED17B2" w:rsidRPr="00587212">
        <w:rPr>
          <w:rFonts w:ascii="Times New Roman" w:hAnsi="Times New Roman"/>
        </w:rPr>
        <w:t>2020</w:t>
      </w:r>
      <w:r w:rsidR="001404F8" w:rsidRPr="00587212">
        <w:rPr>
          <w:rFonts w:ascii="Times New Roman" w:eastAsiaTheme="minorEastAsia" w:hAnsi="Times New Roman"/>
          <w:lang w:eastAsia="ko-KR"/>
        </w:rPr>
        <w:t>),</w:t>
      </w:r>
      <w:r w:rsidR="00ED17B2" w:rsidRPr="00587212">
        <w:rPr>
          <w:rFonts w:ascii="Times New Roman" w:hAnsi="Times New Roman"/>
        </w:rPr>
        <w:t xml:space="preserve"> Sithichoksakulchai et al. </w:t>
      </w:r>
      <w:r w:rsidR="001404F8" w:rsidRPr="00587212">
        <w:rPr>
          <w:rFonts w:ascii="Times New Roman" w:eastAsiaTheme="minorEastAsia" w:hAnsi="Times New Roman"/>
          <w:lang w:eastAsia="ko-KR"/>
        </w:rPr>
        <w:t>(</w:t>
      </w:r>
      <w:r w:rsidR="00ED17B2" w:rsidRPr="00587212">
        <w:rPr>
          <w:rFonts w:ascii="Times New Roman" w:hAnsi="Times New Roman"/>
        </w:rPr>
        <w:t>2022</w:t>
      </w:r>
      <w:r w:rsidR="001404F8" w:rsidRPr="00587212">
        <w:rPr>
          <w:rFonts w:ascii="Times New Roman" w:eastAsiaTheme="minorEastAsia" w:hAnsi="Times New Roman"/>
          <w:lang w:eastAsia="ko-KR"/>
        </w:rPr>
        <w:t>)</w:t>
      </w:r>
      <w:r w:rsidR="00E63022" w:rsidRPr="00587212">
        <w:rPr>
          <w:rFonts w:ascii="Times New Roman" w:eastAsiaTheme="minorEastAsia" w:hAnsi="Times New Roman"/>
          <w:lang w:eastAsia="ko-KR"/>
        </w:rPr>
        <w:t>,</w:t>
      </w:r>
      <w:r w:rsidR="000260B0" w:rsidRPr="00587212">
        <w:rPr>
          <w:rFonts w:ascii="Times New Roman" w:eastAsiaTheme="minorEastAsia" w:hAnsi="Times New Roman"/>
          <w:lang w:eastAsia="ko-KR"/>
        </w:rPr>
        <w:t xml:space="preserve"> and</w:t>
      </w:r>
      <w:r w:rsidR="00ED17B2" w:rsidRPr="00587212">
        <w:rPr>
          <w:rFonts w:ascii="Times New Roman" w:hAnsi="Times New Roman"/>
        </w:rPr>
        <w:t xml:space="preserve"> Wei et al. </w:t>
      </w:r>
      <w:r w:rsidR="001404F8" w:rsidRPr="00587212">
        <w:rPr>
          <w:rFonts w:ascii="Times New Roman" w:eastAsiaTheme="minorEastAsia" w:hAnsi="Times New Roman"/>
          <w:lang w:eastAsia="ko-KR"/>
        </w:rPr>
        <w:t>(</w:t>
      </w:r>
      <w:r w:rsidR="00ED17B2" w:rsidRPr="00587212">
        <w:rPr>
          <w:rFonts w:ascii="Times New Roman" w:hAnsi="Times New Roman"/>
        </w:rPr>
        <w:t>2022)</w:t>
      </w:r>
      <w:r w:rsidR="00ED17B2" w:rsidRPr="00587212">
        <w:rPr>
          <w:rFonts w:ascii="Times New Roman" w:hAnsi="Times New Roman"/>
          <w:bCs/>
          <w:szCs w:val="24"/>
        </w:rPr>
        <w:fldChar w:fldCharType="end"/>
      </w:r>
      <w:bookmarkEnd w:id="17"/>
      <w:r w:rsidR="007F24B9">
        <w:rPr>
          <w:rFonts w:ascii="Times New Roman" w:hAnsi="Times New Roman"/>
          <w:bCs/>
          <w:szCs w:val="24"/>
        </w:rPr>
        <w:t>.</w:t>
      </w:r>
    </w:p>
    <w:p w14:paraId="6F887270" w14:textId="77777777" w:rsidR="003518AB" w:rsidRDefault="004D33B4" w:rsidP="003518AB">
      <w:pPr>
        <w:autoSpaceDE w:val="0"/>
        <w:autoSpaceDN w:val="0"/>
        <w:adjustRightInd w:val="0"/>
        <w:ind w:firstLine="720"/>
        <w:jc w:val="both"/>
        <w:rPr>
          <w:rFonts w:ascii="Times New Roman" w:hAnsi="Times New Roman"/>
          <w:bCs/>
          <w:szCs w:val="24"/>
        </w:rPr>
      </w:pPr>
      <w:r w:rsidRPr="0091212F">
        <w:rPr>
          <w:rFonts w:ascii="Times New Roman" w:hAnsi="Times New Roman"/>
          <w:bCs/>
          <w:szCs w:val="24"/>
        </w:rPr>
        <w:t xml:space="preserve">In the rest of this section, we focus more on the determinants of walking, rather than the </w:t>
      </w:r>
      <w:r w:rsidR="006502DB" w:rsidRPr="001F57F8">
        <w:rPr>
          <w:rFonts w:ascii="Times New Roman" w:hAnsi="Times New Roman"/>
          <w:bCs/>
          <w:szCs w:val="24"/>
        </w:rPr>
        <w:t>now well-established positive impacts of walking on health and qu</w:t>
      </w:r>
      <w:r w:rsidR="006502DB" w:rsidRPr="00587212">
        <w:rPr>
          <w:rFonts w:ascii="Times New Roman" w:hAnsi="Times New Roman"/>
          <w:bCs/>
          <w:szCs w:val="24"/>
        </w:rPr>
        <w:t xml:space="preserve">ality of life. </w:t>
      </w:r>
      <w:r w:rsidR="00D456D3" w:rsidRPr="00587212">
        <w:rPr>
          <w:rFonts w:ascii="Times New Roman" w:hAnsi="Times New Roman"/>
          <w:bCs/>
          <w:szCs w:val="24"/>
        </w:rPr>
        <w:t>In this context, e</w:t>
      </w:r>
      <w:r w:rsidR="00F50D8F" w:rsidRPr="00587212">
        <w:rPr>
          <w:rFonts w:ascii="Times New Roman" w:hAnsi="Times New Roman"/>
          <w:bCs/>
          <w:szCs w:val="24"/>
        </w:rPr>
        <w:t xml:space="preserve">cological models </w:t>
      </w:r>
      <w:r w:rsidR="001D5388" w:rsidRPr="00587212">
        <w:rPr>
          <w:rFonts w:ascii="Times New Roman" w:hAnsi="Times New Roman"/>
          <w:bCs/>
          <w:szCs w:val="24"/>
        </w:rPr>
        <w:t xml:space="preserve">of physical activity in older adults </w:t>
      </w:r>
      <w:r w:rsidR="00AC1029" w:rsidRPr="00587212">
        <w:rPr>
          <w:rFonts w:ascii="Times New Roman" w:hAnsi="Times New Roman"/>
          <w:bCs/>
          <w:szCs w:val="24"/>
        </w:rPr>
        <w:t>(see, for example,</w:t>
      </w:r>
      <w:r w:rsidR="003D0998" w:rsidRPr="00587212">
        <w:rPr>
          <w:rFonts w:ascii="Times New Roman" w:eastAsiaTheme="minorEastAsia" w:hAnsi="Times New Roman" w:hint="eastAsia"/>
          <w:bCs/>
          <w:szCs w:val="24"/>
          <w:lang w:eastAsia="ko-KR"/>
        </w:rPr>
        <w:t xml:space="preserve"> </w:t>
      </w:r>
      <w:r w:rsidR="003D0998" w:rsidRPr="00587212">
        <w:rPr>
          <w:rFonts w:ascii="Times New Roman" w:eastAsiaTheme="minorEastAsia" w:hAnsi="Times New Roman"/>
          <w:bCs/>
          <w:szCs w:val="24"/>
          <w:lang w:eastAsia="ko-KR"/>
        </w:rPr>
        <w:fldChar w:fldCharType="begin"/>
      </w:r>
      <w:r w:rsidR="00130D33" w:rsidRPr="00587212">
        <w:rPr>
          <w:rFonts w:ascii="Times New Roman" w:eastAsiaTheme="minorEastAsia" w:hAnsi="Times New Roman"/>
          <w:bCs/>
          <w:szCs w:val="24"/>
          <w:lang w:eastAsia="ko-KR"/>
        </w:rPr>
        <w:instrText xml:space="preserve"> ADDIN ZOTERO_ITEM CSL_CITATION {"citationID":"qHvOv1Ac","properties":{"unsorted":true,"formattedCitation":"(Sallis et al., 2015; Krogstad et al., 2015; Thornton et al., 2017; Bergen et al., 2023)","plainCitation":"(Sallis et al., 2015; Krogstad et al., 2015; Thornton et al., 2017; Bergen et al., 2023)","dontUpdate":true,"noteIndex":0},"citationItems":[{"id":1244,"uris":["http://zotero.org/users/10132210/items/4MNRQ58L"],"itemData":{"id":1244,"type":"article-journal","container-title":"Health behavior: Theory, research, and practice","issue":"43-64","title":"Ecological models of health behavior","volume":"5","author":[{"family":"Sallis","given":"James F"},{"family":"Owen","given":"Neville"},{"family":"Fisher","given":"E"},{"literal":"others"}],"issued":{"date-parts":[["2015"]]}}},{"id":923,"uris":["http://zotero.org/users/10132210/items/XVF2B9PY"],"itemData":{"id":923,"type":"article-journal","abstract":"The beneﬁts of walking are widely recognized. In this regard, the Norwegian government has urged local authorities to develop walking strategies. The aim of such strategies is to inﬂuence a local walking culture and framework conditions for pedestrians. Older citizens are an important focus group because what is an accessible environment for them can be attractive for all groups. The primary aim of this study is to improve our understanding of how physical, social and individual factors affect whether older groups perceive that they need, can and want to walk. Second, we show how a mixed-method approach for collecting data gives an important input when planning a walking strategy. Combining quantitative and qualitative data gave deeper insights into how elders perceived their walking environment. The three steps (survey, participatory observation and workshop) made it possible to involve elders and practitioners from the municipality and the Norwegian Public Roads Administration directly in the study. This gave ﬁrst-hand experience about how to facilitate the environment for older pedestrians. The ﬁndings suggest that the need, can and want dimensions of walking interact and reinforce each other. We ﬁnd that measures affecting more than one such dimension seem to provide the best response for walking activity. This can be important for practitioners to take into consideration when developing good walking areas in the city.","container-title":"European Journal of Ageing","DOI":"10.1007/s10433-015-0340-5","ISSN":"1613-9372, 1613-9380","issue":"3","journalAbbreviation":"Eur J Ageing","language":"en","page":"249-260","source":"DOI.org (Crossref)","title":"Improving walking conditions for older adults. A three-step method investigation","volume":"12","author":[{"family":"Krogstad","given":"Julie Runde"},{"family":"Hjorthol","given":"Randi"},{"family":"Tennøy","given":"Aud"}],"issued":{"date-parts":[["2015",9]]}}},{"id":1211,"uris":["http://zotero.org/users/10132210/items/CGGCSG6C"],"itemData":{"id":1211,"type":"article-journal","abstract":"Background—Studies identifying correlates of physical activity (PA) at all levels of the ecological model can provide an empirical basis for designing interventions to increase older adults’ PA.","container-title":"Annals of Behavioral Medicine","DOI":"10.1007/s12160-016-9837-1","ISSN":"0883-6612, 1532-4796","issue":"2","journalAbbreviation":"ann. behav. med.","language":"en","page":"159-169","source":"DOI.org (Crossref)","title":"Physical Activity in Older Adults: an Ecological Approach","title-short":"Physical Activity in Older Adults","volume":"51","author":[{"family":"Thornton","given":"Christina M."},{"family":"Kerr","given":"Jacqueline"},{"family":"Conway","given":"Terry L."},{"family":"Saelens","given":"Brian E."},{"family":"Sallis","given":"James F."},{"family":"Ahn","given":"David K."},{"family":"Frank","given":"Lawrence D."},{"family":"Cain","given":"Kelli L."},{"family":"King","given":"Abby C."}],"issued":{"date-parts":[["2017",4]]}}},{"id":1213,"uris":["http://zotero.org/users/10132210/items/66WBLQXA"],"itemData":{"id":1213,"type":"article-journal","abstract":"The purpose of this study was to identify internal and external factors associated with outdoor winter walking in older adults. In this scoping review, 12 databases were searched. Inclusion criteria included English language, focus on adults 65 years of age or older, and evaluation of factors associated with outdoor winter walking. Two authors screened titles/abstracts and full text. Conflicts were resolved by consensus. Data were extracted, organized into tables, and summarized as pertaining to barriers/facilitators and internal/external factors associated with outdoor winter walking. A total of 6,843 articles were identified, 1,898 duplicates were removed, 4,789 were excluded during title/abstract screening, and 148 were excluded during full-text review. Eight studies were included. Four categories of factors affecting outdoor winter walking in older adults were identified: adverse weather conditions, physical environment, physical function, and perceptions relating to winter walking conditions. Rehabilitation and exercise professionals can use the results to educate their clients and implement the facilitators of and alternatives and solutions to barriers to outdoor winter walking.","container-title":"Canadian Journal on Aging / La Revue canadienne du vieillissement","DOI":"10.1017/S0714980822000460","ISSN":"0714-9808, 1710-1107","issue":"2","journalAbbreviation":"Can. J. Aging","language":"en","page":"316-327","source":"DOI.org (Crossref)","title":"Factors Associated with Outdoor Winter Walking in Older Adults: A Scoping Review","title-short":"Factors Associated with Outdoor Winter Walking in Older Adults","volume":"42","author":[{"family":"Bergen","given":"Kyle"},{"family":"Jubenvill","given":"Megan"},{"family":"Shaw","given":"Kyle"},{"family":"Steen","given":"Erin"},{"family":"Loewen","given":"Hal"},{"family":"Mbabaali","given":"Sophia"},{"family":"Barclay","given":"Ruth"}],"issued":{"date-parts":[["2023",6]]}}}],"schema":"https://github.com/citation-style-language/schema/raw/master/csl-citation.json"} </w:instrText>
      </w:r>
      <w:r w:rsidR="003D0998" w:rsidRPr="00587212">
        <w:rPr>
          <w:rFonts w:ascii="Times New Roman" w:eastAsiaTheme="minorEastAsia" w:hAnsi="Times New Roman"/>
          <w:bCs/>
          <w:szCs w:val="24"/>
          <w:lang w:eastAsia="ko-KR"/>
        </w:rPr>
        <w:fldChar w:fldCharType="separate"/>
      </w:r>
      <w:r w:rsidR="00DD185C" w:rsidRPr="00587212">
        <w:rPr>
          <w:rFonts w:ascii="Times New Roman" w:hAnsi="Times New Roman"/>
        </w:rPr>
        <w:t>Sallis et al., 2015; Krogstad et al., 2015; Thornton et al., 2017</w:t>
      </w:r>
      <w:r w:rsidR="00DD185C" w:rsidRPr="00587212">
        <w:rPr>
          <w:rFonts w:ascii="Times New Roman" w:eastAsiaTheme="minorEastAsia" w:hAnsi="Times New Roman"/>
          <w:lang w:eastAsia="ko-KR"/>
        </w:rPr>
        <w:t xml:space="preserve"> and </w:t>
      </w:r>
      <w:r w:rsidR="00DD185C" w:rsidRPr="00587212">
        <w:rPr>
          <w:rFonts w:ascii="Times New Roman" w:hAnsi="Times New Roman"/>
        </w:rPr>
        <w:t>Bergen et al., 2023)</w:t>
      </w:r>
      <w:r w:rsidR="003D0998" w:rsidRPr="00587212">
        <w:rPr>
          <w:rFonts w:ascii="Times New Roman" w:eastAsiaTheme="minorEastAsia" w:hAnsi="Times New Roman"/>
          <w:bCs/>
          <w:szCs w:val="24"/>
          <w:lang w:eastAsia="ko-KR"/>
        </w:rPr>
        <w:fldChar w:fldCharType="end"/>
      </w:r>
      <w:r w:rsidR="00AC1029" w:rsidRPr="00587212">
        <w:rPr>
          <w:rFonts w:ascii="Times New Roman" w:hAnsi="Times New Roman"/>
          <w:bCs/>
          <w:szCs w:val="24"/>
        </w:rPr>
        <w:t xml:space="preserve"> </w:t>
      </w:r>
      <w:r w:rsidR="00F50D8F" w:rsidRPr="00587212">
        <w:rPr>
          <w:rFonts w:ascii="Times New Roman" w:hAnsi="Times New Roman"/>
          <w:bCs/>
          <w:szCs w:val="24"/>
        </w:rPr>
        <w:t xml:space="preserve">have identified individual walking behavior as being influenced by </w:t>
      </w:r>
      <w:r w:rsidR="00874470">
        <w:rPr>
          <w:rFonts w:ascii="Times New Roman" w:hAnsi="Times New Roman"/>
          <w:bCs/>
          <w:szCs w:val="24"/>
        </w:rPr>
        <w:t xml:space="preserve">the rich </w:t>
      </w:r>
      <w:r w:rsidR="00F50D8F" w:rsidRPr="00587212">
        <w:rPr>
          <w:rFonts w:ascii="Times New Roman" w:hAnsi="Times New Roman"/>
          <w:bCs/>
          <w:szCs w:val="24"/>
        </w:rPr>
        <w:t xml:space="preserve">interplay of </w:t>
      </w:r>
      <w:r w:rsidR="001D5388" w:rsidRPr="00587212">
        <w:rPr>
          <w:rFonts w:ascii="Times New Roman" w:hAnsi="Times New Roman"/>
          <w:bCs/>
          <w:szCs w:val="24"/>
        </w:rPr>
        <w:t>individual characteristics (</w:t>
      </w:r>
      <w:proofErr w:type="spellStart"/>
      <w:r w:rsidR="00A16F8A" w:rsidRPr="00587212">
        <w:rPr>
          <w:rFonts w:ascii="Times New Roman" w:hAnsi="Times New Roman"/>
          <w:bCs/>
          <w:szCs w:val="24"/>
        </w:rPr>
        <w:t>socio</w:t>
      </w:r>
      <w:r w:rsidR="001D5388" w:rsidRPr="00587212">
        <w:rPr>
          <w:rFonts w:ascii="Times New Roman" w:hAnsi="Times New Roman"/>
          <w:bCs/>
          <w:szCs w:val="24"/>
        </w:rPr>
        <w:t>demographics</w:t>
      </w:r>
      <w:proofErr w:type="spellEnd"/>
      <w:r w:rsidR="001D5388" w:rsidRPr="00587212">
        <w:rPr>
          <w:rFonts w:ascii="Times New Roman" w:hAnsi="Times New Roman"/>
          <w:bCs/>
          <w:szCs w:val="24"/>
        </w:rPr>
        <w:t xml:space="preserve"> such as age, race/ethnicity, gender, household composition, and</w:t>
      </w:r>
      <w:r w:rsidR="001D5388" w:rsidRPr="00613B7F">
        <w:rPr>
          <w:rFonts w:ascii="Times New Roman" w:hAnsi="Times New Roman"/>
          <w:bCs/>
          <w:szCs w:val="24"/>
        </w:rPr>
        <w:t xml:space="preserve"> income, and health conditions), psychosocial factors (social support, self-efficacy, </w:t>
      </w:r>
      <w:r w:rsidR="00A16F8A">
        <w:rPr>
          <w:rFonts w:ascii="Times New Roman" w:hAnsi="Times New Roman"/>
          <w:bCs/>
          <w:szCs w:val="24"/>
        </w:rPr>
        <w:t xml:space="preserve">and </w:t>
      </w:r>
      <w:r w:rsidR="00CA2A38">
        <w:rPr>
          <w:rFonts w:ascii="Times New Roman" w:hAnsi="Times New Roman"/>
          <w:bCs/>
          <w:szCs w:val="24"/>
        </w:rPr>
        <w:t xml:space="preserve">health and </w:t>
      </w:r>
      <w:r w:rsidR="001D5388" w:rsidRPr="009E07AD">
        <w:rPr>
          <w:rFonts w:ascii="Times New Roman" w:hAnsi="Times New Roman"/>
          <w:bCs/>
          <w:szCs w:val="24"/>
        </w:rPr>
        <w:t xml:space="preserve">safety perceptions), and environment </w:t>
      </w:r>
      <w:r w:rsidR="001D5388" w:rsidRPr="0091212F">
        <w:rPr>
          <w:rFonts w:ascii="Times New Roman" w:hAnsi="Times New Roman"/>
          <w:bCs/>
          <w:szCs w:val="24"/>
        </w:rPr>
        <w:t>variables (</w:t>
      </w:r>
      <w:r w:rsidR="001D5388" w:rsidRPr="00F86AAD">
        <w:rPr>
          <w:rFonts w:ascii="Times New Roman" w:hAnsi="Times New Roman"/>
          <w:bCs/>
          <w:szCs w:val="24"/>
        </w:rPr>
        <w:t xml:space="preserve">including </w:t>
      </w:r>
      <w:r w:rsidR="001D5388" w:rsidRPr="001F57F8">
        <w:rPr>
          <w:rFonts w:ascii="Times New Roman" w:hAnsi="Times New Roman"/>
          <w:bCs/>
          <w:szCs w:val="24"/>
        </w:rPr>
        <w:t xml:space="preserve">objective and perceived </w:t>
      </w:r>
      <w:r w:rsidR="006679B8" w:rsidRPr="00613B7F">
        <w:rPr>
          <w:rFonts w:ascii="Times New Roman" w:hAnsi="Times New Roman"/>
          <w:bCs/>
          <w:szCs w:val="24"/>
        </w:rPr>
        <w:t xml:space="preserve">built environment </w:t>
      </w:r>
      <w:r w:rsidR="001D5388" w:rsidRPr="00613B7F">
        <w:rPr>
          <w:rFonts w:ascii="Times New Roman" w:hAnsi="Times New Roman"/>
          <w:bCs/>
          <w:szCs w:val="24"/>
        </w:rPr>
        <w:t xml:space="preserve">attributes, </w:t>
      </w:r>
      <w:r w:rsidR="00CA2A38" w:rsidRPr="00613B7F">
        <w:rPr>
          <w:rFonts w:ascii="Times New Roman" w:hAnsi="Times New Roman"/>
          <w:bCs/>
          <w:szCs w:val="24"/>
        </w:rPr>
        <w:t>weather</w:t>
      </w:r>
      <w:r w:rsidR="001D5388" w:rsidRPr="00613B7F">
        <w:rPr>
          <w:rFonts w:ascii="Times New Roman" w:hAnsi="Times New Roman"/>
          <w:bCs/>
          <w:szCs w:val="24"/>
        </w:rPr>
        <w:t xml:space="preserve"> conditions</w:t>
      </w:r>
      <w:r w:rsidR="00CA2A38" w:rsidRPr="00613B7F">
        <w:rPr>
          <w:rFonts w:ascii="Times New Roman" w:hAnsi="Times New Roman"/>
          <w:bCs/>
          <w:szCs w:val="24"/>
        </w:rPr>
        <w:t>,</w:t>
      </w:r>
      <w:r w:rsidR="001D5388" w:rsidRPr="00613B7F">
        <w:rPr>
          <w:rFonts w:ascii="Times New Roman" w:hAnsi="Times New Roman"/>
          <w:bCs/>
          <w:szCs w:val="24"/>
        </w:rPr>
        <w:t xml:space="preserve"> and </w:t>
      </w:r>
      <w:r w:rsidR="00CA2A38" w:rsidRPr="00613B7F">
        <w:rPr>
          <w:rFonts w:ascii="Times New Roman" w:hAnsi="Times New Roman"/>
          <w:bCs/>
          <w:szCs w:val="24"/>
        </w:rPr>
        <w:t xml:space="preserve">ambient </w:t>
      </w:r>
      <w:r w:rsidR="001D5388" w:rsidRPr="00613B7F">
        <w:rPr>
          <w:rFonts w:ascii="Times New Roman" w:hAnsi="Times New Roman"/>
          <w:bCs/>
          <w:szCs w:val="24"/>
        </w:rPr>
        <w:t>natural greenery/vegetation</w:t>
      </w:r>
      <w:r w:rsidR="00CA2A38" w:rsidRPr="00613B7F">
        <w:rPr>
          <w:rFonts w:ascii="Times New Roman" w:hAnsi="Times New Roman"/>
          <w:bCs/>
          <w:szCs w:val="24"/>
        </w:rPr>
        <w:t xml:space="preserve"> characteristics</w:t>
      </w:r>
      <w:r w:rsidR="001D5388" w:rsidRPr="00613B7F">
        <w:rPr>
          <w:rFonts w:ascii="Times New Roman" w:hAnsi="Times New Roman"/>
          <w:bCs/>
          <w:szCs w:val="24"/>
        </w:rPr>
        <w:t>).</w:t>
      </w:r>
      <w:r w:rsidR="00CA2A38">
        <w:rPr>
          <w:rFonts w:ascii="Times New Roman" w:hAnsi="Times New Roman"/>
          <w:bCs/>
          <w:szCs w:val="24"/>
        </w:rPr>
        <w:t xml:space="preserve"> </w:t>
      </w:r>
      <w:r w:rsidR="00ED0877">
        <w:rPr>
          <w:rFonts w:ascii="Times New Roman" w:hAnsi="Times New Roman"/>
          <w:bCs/>
          <w:szCs w:val="24"/>
        </w:rPr>
        <w:t xml:space="preserve">In the following </w:t>
      </w:r>
      <w:r w:rsidR="00596FC9" w:rsidRPr="00613B7F">
        <w:rPr>
          <w:rFonts w:ascii="Times New Roman" w:hAnsi="Times New Roman"/>
          <w:bCs/>
          <w:szCs w:val="24"/>
        </w:rPr>
        <w:t>sections</w:t>
      </w:r>
      <w:r w:rsidR="00ED0877">
        <w:rPr>
          <w:rFonts w:ascii="Times New Roman" w:hAnsi="Times New Roman"/>
          <w:bCs/>
          <w:szCs w:val="24"/>
        </w:rPr>
        <w:t xml:space="preserve">, we provide a brief overview of </w:t>
      </w:r>
      <w:r w:rsidR="00956B83" w:rsidRPr="00613B7F">
        <w:rPr>
          <w:rFonts w:ascii="Times New Roman" w:hAnsi="Times New Roman"/>
          <w:bCs/>
          <w:szCs w:val="24"/>
        </w:rPr>
        <w:t xml:space="preserve">existing </w:t>
      </w:r>
      <w:r w:rsidR="00596FC9" w:rsidRPr="00613B7F">
        <w:rPr>
          <w:rFonts w:ascii="Times New Roman" w:hAnsi="Times New Roman"/>
          <w:bCs/>
          <w:szCs w:val="24"/>
        </w:rPr>
        <w:t xml:space="preserve">studies </w:t>
      </w:r>
      <w:r w:rsidR="00D456D3">
        <w:rPr>
          <w:rFonts w:ascii="Times New Roman" w:hAnsi="Times New Roman"/>
          <w:bCs/>
          <w:szCs w:val="24"/>
        </w:rPr>
        <w:t xml:space="preserve">within this ecological framework of walking, </w:t>
      </w:r>
      <w:r w:rsidR="00ED0877">
        <w:rPr>
          <w:rFonts w:ascii="Times New Roman" w:hAnsi="Times New Roman"/>
          <w:bCs/>
          <w:szCs w:val="24"/>
        </w:rPr>
        <w:t xml:space="preserve">based on the dimension of walking considered (that is, based on walking </w:t>
      </w:r>
      <w:r w:rsidR="00ED0877" w:rsidRPr="001E03BA">
        <w:rPr>
          <w:rFonts w:ascii="Times New Roman" w:hAnsi="Times New Roman"/>
          <w:bCs/>
          <w:szCs w:val="24"/>
        </w:rPr>
        <w:t xml:space="preserve">frequency, duration, and social </w:t>
      </w:r>
      <w:r w:rsidR="00ED0877" w:rsidRPr="001E03BA">
        <w:rPr>
          <w:rFonts w:ascii="Times New Roman" w:hAnsi="Times New Roman"/>
          <w:bCs/>
          <w:szCs w:val="24"/>
        </w:rPr>
        <w:lastRenderedPageBreak/>
        <w:t>companionship</w:t>
      </w:r>
      <w:r w:rsidR="00ED0877">
        <w:rPr>
          <w:rFonts w:ascii="Times New Roman" w:hAnsi="Times New Roman"/>
          <w:bCs/>
          <w:szCs w:val="24"/>
        </w:rPr>
        <w:t>)</w:t>
      </w:r>
      <w:r w:rsidR="00C55421">
        <w:rPr>
          <w:rFonts w:ascii="Times New Roman" w:hAnsi="Times New Roman"/>
          <w:bCs/>
          <w:szCs w:val="24"/>
        </w:rPr>
        <w:t xml:space="preserve">. </w:t>
      </w:r>
      <w:r w:rsidR="00D456D3">
        <w:rPr>
          <w:rFonts w:ascii="Times New Roman" w:hAnsi="Times New Roman"/>
          <w:bCs/>
          <w:szCs w:val="24"/>
        </w:rPr>
        <w:t xml:space="preserve">Our review is confined to </w:t>
      </w:r>
      <w:r w:rsidR="00503A0B">
        <w:rPr>
          <w:rFonts w:ascii="Times New Roman" w:hAnsi="Times New Roman"/>
          <w:bCs/>
          <w:szCs w:val="24"/>
        </w:rPr>
        <w:t xml:space="preserve">studies that examine walking, rather than the broader category of physical activity in older adults. </w:t>
      </w:r>
      <w:r w:rsidR="00D456D3">
        <w:rPr>
          <w:rFonts w:ascii="Times New Roman" w:hAnsi="Times New Roman"/>
          <w:bCs/>
          <w:szCs w:val="24"/>
        </w:rPr>
        <w:t>We also emphasize studies of older adults, as opposed to those considering the entire population, though we do include some general population studies undertaken after the onset of the pandemic in 2020.</w:t>
      </w:r>
    </w:p>
    <w:p w14:paraId="01E54FE7" w14:textId="274DD245" w:rsidR="00ED0877" w:rsidRPr="009E07AD" w:rsidRDefault="00D456D3" w:rsidP="003518AB">
      <w:pPr>
        <w:autoSpaceDE w:val="0"/>
        <w:autoSpaceDN w:val="0"/>
        <w:adjustRightInd w:val="0"/>
        <w:ind w:firstLine="720"/>
        <w:jc w:val="both"/>
        <w:rPr>
          <w:rFonts w:ascii="Times New Roman" w:hAnsi="Times New Roman"/>
          <w:bCs/>
          <w:szCs w:val="24"/>
        </w:rPr>
      </w:pPr>
      <w:r>
        <w:rPr>
          <w:rFonts w:ascii="Times New Roman" w:hAnsi="Times New Roman"/>
          <w:bCs/>
          <w:szCs w:val="24"/>
        </w:rPr>
        <w:t xml:space="preserve"> </w:t>
      </w:r>
    </w:p>
    <w:p w14:paraId="208DD5D6" w14:textId="2BDD2D89" w:rsidR="0070753F" w:rsidRPr="008E4F1B" w:rsidRDefault="005E296D" w:rsidP="003518AB">
      <w:pPr>
        <w:pStyle w:val="Heading2"/>
        <w:spacing w:line="240" w:lineRule="auto"/>
        <w:ind w:hanging="540"/>
        <w:contextualSpacing w:val="0"/>
        <w:jc w:val="both"/>
        <w:rPr>
          <w:lang w:eastAsia="ko-KR"/>
        </w:rPr>
      </w:pPr>
      <w:r w:rsidRPr="008E4F1B">
        <w:rPr>
          <w:lang w:eastAsia="ko-KR"/>
        </w:rPr>
        <w:t>Frequency as Measure of Walking Habit</w:t>
      </w:r>
      <w:r w:rsidR="00BF4EDE" w:rsidRPr="008E4F1B">
        <w:rPr>
          <w:lang w:eastAsia="ko-KR"/>
        </w:rPr>
        <w:t>s</w:t>
      </w:r>
    </w:p>
    <w:p w14:paraId="22E77896" w14:textId="1FEB0A18" w:rsidR="00B62B00" w:rsidRPr="0091212F" w:rsidRDefault="00F6390C" w:rsidP="003518AB">
      <w:pPr>
        <w:autoSpaceDE w:val="0"/>
        <w:autoSpaceDN w:val="0"/>
        <w:adjustRightInd w:val="0"/>
        <w:jc w:val="both"/>
        <w:rPr>
          <w:rFonts w:ascii="Times New Roman" w:hAnsi="Times New Roman"/>
          <w:bCs/>
          <w:szCs w:val="24"/>
        </w:rPr>
      </w:pPr>
      <w:r w:rsidRPr="009E07AD">
        <w:rPr>
          <w:rFonts w:ascii="Times New Roman" w:hAnsi="Times New Roman"/>
          <w:bCs/>
          <w:szCs w:val="24"/>
        </w:rPr>
        <w:t xml:space="preserve">In the </w:t>
      </w:r>
      <w:r w:rsidR="00596FC9" w:rsidRPr="009E07AD">
        <w:rPr>
          <w:rFonts w:ascii="Times New Roman" w:hAnsi="Times New Roman"/>
          <w:bCs/>
          <w:szCs w:val="24"/>
        </w:rPr>
        <w:t>research space focusing on</w:t>
      </w:r>
      <w:r w:rsidRPr="009E07AD">
        <w:rPr>
          <w:rFonts w:ascii="Times New Roman" w:hAnsi="Times New Roman"/>
          <w:bCs/>
          <w:szCs w:val="24"/>
        </w:rPr>
        <w:t xml:space="preserve"> walking frequency among older adults</w:t>
      </w:r>
      <w:r w:rsidR="000F17D6" w:rsidRPr="00141DA5">
        <w:rPr>
          <w:rFonts w:ascii="Times New Roman" w:hAnsi="Times New Roman"/>
          <w:bCs/>
          <w:szCs w:val="24"/>
        </w:rPr>
        <w:t>,</w:t>
      </w:r>
      <w:r w:rsidR="00F01DE4" w:rsidRPr="00141DA5">
        <w:rPr>
          <w:rFonts w:ascii="Times New Roman" w:hAnsi="Times New Roman"/>
          <w:bCs/>
          <w:szCs w:val="24"/>
        </w:rPr>
        <w:t xml:space="preserve"> studies have</w:t>
      </w:r>
      <w:r w:rsidR="000A67BD" w:rsidRPr="0091212F">
        <w:rPr>
          <w:rFonts w:ascii="Times New Roman" w:hAnsi="Times New Roman"/>
          <w:bCs/>
          <w:szCs w:val="24"/>
        </w:rPr>
        <w:t xml:space="preserve"> </w:t>
      </w:r>
      <w:r w:rsidR="00D456D3">
        <w:rPr>
          <w:rFonts w:ascii="Times New Roman" w:hAnsi="Times New Roman"/>
          <w:bCs/>
          <w:szCs w:val="24"/>
        </w:rPr>
        <w:t xml:space="preserve">identified many </w:t>
      </w:r>
      <w:r w:rsidR="00F01DE4" w:rsidRPr="00587212">
        <w:rPr>
          <w:rFonts w:ascii="Times New Roman" w:hAnsi="Times New Roman"/>
          <w:bCs/>
          <w:szCs w:val="24"/>
        </w:rPr>
        <w:t xml:space="preserve">sociodemographic and built environment </w:t>
      </w:r>
      <w:r w:rsidR="00663DF1" w:rsidRPr="00587212">
        <w:rPr>
          <w:rFonts w:ascii="Times New Roman" w:hAnsi="Times New Roman"/>
          <w:bCs/>
          <w:szCs w:val="24"/>
        </w:rPr>
        <w:t xml:space="preserve">(BE) </w:t>
      </w:r>
      <w:r w:rsidR="00DB17AD" w:rsidRPr="00587212">
        <w:rPr>
          <w:rFonts w:ascii="Times New Roman" w:hAnsi="Times New Roman"/>
          <w:bCs/>
          <w:szCs w:val="24"/>
        </w:rPr>
        <w:t xml:space="preserve">determinants </w:t>
      </w:r>
      <w:r w:rsidR="00D456D3" w:rsidRPr="00587212">
        <w:rPr>
          <w:rFonts w:ascii="Times New Roman" w:hAnsi="Times New Roman"/>
          <w:bCs/>
          <w:szCs w:val="24"/>
        </w:rPr>
        <w:t xml:space="preserve">of </w:t>
      </w:r>
      <w:r w:rsidR="00DB17AD" w:rsidRPr="00587212">
        <w:rPr>
          <w:rFonts w:ascii="Times New Roman" w:hAnsi="Times New Roman"/>
          <w:bCs/>
          <w:szCs w:val="24"/>
        </w:rPr>
        <w:t xml:space="preserve">utilitarian </w:t>
      </w:r>
      <w:r w:rsidR="00D456D3" w:rsidRPr="00587212">
        <w:rPr>
          <w:rFonts w:ascii="Times New Roman" w:hAnsi="Times New Roman"/>
          <w:bCs/>
          <w:szCs w:val="24"/>
        </w:rPr>
        <w:t>and</w:t>
      </w:r>
      <w:r w:rsidR="00DB17AD" w:rsidRPr="00587212">
        <w:rPr>
          <w:rFonts w:ascii="Times New Roman" w:hAnsi="Times New Roman"/>
          <w:bCs/>
          <w:szCs w:val="24"/>
        </w:rPr>
        <w:t xml:space="preserve"> recreational walking</w:t>
      </w:r>
      <w:r w:rsidR="00977495" w:rsidRPr="00587212">
        <w:rPr>
          <w:rFonts w:ascii="Times New Roman" w:hAnsi="Times New Roman"/>
          <w:bCs/>
          <w:szCs w:val="24"/>
        </w:rPr>
        <w:t xml:space="preserve"> trips</w:t>
      </w:r>
      <w:r w:rsidR="00DA3A60" w:rsidRPr="00587212">
        <w:rPr>
          <w:rFonts w:ascii="Times New Roman" w:hAnsi="Times New Roman"/>
          <w:bCs/>
          <w:szCs w:val="24"/>
        </w:rPr>
        <w:t xml:space="preserve">. </w:t>
      </w:r>
      <w:bookmarkStart w:id="18" w:name="_Hlk169960360"/>
      <w:r w:rsidR="000F17D6" w:rsidRPr="00587212">
        <w:rPr>
          <w:rFonts w:ascii="Times New Roman" w:hAnsi="Times New Roman"/>
          <w:bCs/>
          <w:szCs w:val="24"/>
        </w:rPr>
        <w:fldChar w:fldCharType="begin"/>
      </w:r>
      <w:r w:rsidR="000F17D6" w:rsidRPr="00587212">
        <w:rPr>
          <w:rFonts w:ascii="Times New Roman" w:hAnsi="Times New Roman"/>
          <w:bCs/>
          <w:szCs w:val="24"/>
        </w:rPr>
        <w:instrText xml:space="preserve"> ADDIN ZOTERO_ITEM CSL_CITATION {"citationID":"PlYeLAhy","properties":{"formattedCitation":"(Giehl et al., 2016)","plainCitation":"(Giehl et al., 2016)","dontUpdate":true,"noteIndex":0},"citationItems":[{"id":927,"uris":["http://zotero.org/users/10132210/items/T2XKCXQU"],"itemData":{"id":927,"type":"article-journal","abstract":"Background: Understanding the built environment influence on specific domains of walking is important for public health interventions to increase physical activity levels among older adults. Purpose: The purpose was to investigate the association between built environment characteristics and walking among older adults. Methods: A population-based study was performed in 80 census tracts in Florianópolis, Brazil, including 1,705 older adults (60+ years old). Walking was measured using the International Physical Activity Questionnaire. Built environment characteristics were assessed through a geographic information system. All analyses were conducted through a multilevel logistic regression. Results: Individuals living in neighborhoods with a higher population density (odds ratio [OR]: 2.19; 95% confidence interval [CI], 1.40–3.42), with a higher street connectivity (OR: 1.85; 95% CI, 1.16–2.94), a higher sidewalk proportion (OR: 1.77; 95% CI, 1.11–2.83), and paved streets (medium tertile: OR: 1.61, 95% CI, 1.04–2.49; highest tertile: OR: 2.11; 95% CI, 1.36–3.27) were more likely to walk for transportation. Regarding walking for leisure, only 2 predictors were associated, area income (OR: 1.48; 95% CI, 1.04–2.12) and street density (OR: 1.47; 95% CI, 1.02–2.10). Conclusions: Improving the neighborhood built environment is an important step for achieving higher levels of walking in the elderly population in a middle-income country.","container-title":"Journal of Physical Activity and Health","DOI":"10.1123/jpah.2015-0355","ISSN":"1543-3080, 1543-5474","issue":"6","language":"en","page":"617-624","source":"DOI.org (Crossref)","title":"Built Environment and Walking Behavior Among Brazilian Older Adults: A Population-Based Study","title-short":"Built Environment and Walking Behavior Among Brazilian Older Adults","volume":"13","author":[{"family":"Giehl","given":"Marui Weber Corseuil"},{"family":"Hallal","given":"Pedro Curi"},{"family":"Corseuil","given":"Claudia Weber"},{"family":"Schneider","given":"Ione J. Ceola"},{"family":"Orsi","given":"Eleonora","non-dropping-particle":"d’"}],"issued":{"date-parts":[["2016",6]]}}}],"schema":"https://github.com/citation-style-language/schema/raw/master/csl-citation.json"} </w:instrText>
      </w:r>
      <w:r w:rsidR="000F17D6" w:rsidRPr="00587212">
        <w:rPr>
          <w:rFonts w:ascii="Times New Roman" w:hAnsi="Times New Roman"/>
          <w:bCs/>
          <w:szCs w:val="24"/>
        </w:rPr>
        <w:fldChar w:fldCharType="separate"/>
      </w:r>
      <w:r w:rsidR="000F17D6" w:rsidRPr="00587212">
        <w:rPr>
          <w:rFonts w:ascii="Times New Roman" w:hAnsi="Times New Roman"/>
          <w:szCs w:val="24"/>
        </w:rPr>
        <w:t>Giehl et al. (2016)</w:t>
      </w:r>
      <w:r w:rsidR="000F17D6" w:rsidRPr="00587212">
        <w:rPr>
          <w:rFonts w:ascii="Times New Roman" w:hAnsi="Times New Roman"/>
          <w:bCs/>
          <w:szCs w:val="24"/>
        </w:rPr>
        <w:fldChar w:fldCharType="end"/>
      </w:r>
      <w:bookmarkEnd w:id="18"/>
      <w:r w:rsidR="00FB052D" w:rsidRPr="00587212">
        <w:rPr>
          <w:rFonts w:ascii="Times New Roman" w:hAnsi="Times New Roman"/>
          <w:bCs/>
          <w:szCs w:val="24"/>
        </w:rPr>
        <w:t>, from a study in Brazil,</w:t>
      </w:r>
      <w:r w:rsidR="000F17D6" w:rsidRPr="00587212">
        <w:rPr>
          <w:rFonts w:ascii="Times New Roman" w:hAnsi="Times New Roman"/>
          <w:bCs/>
          <w:szCs w:val="24"/>
        </w:rPr>
        <w:t xml:space="preserve"> </w:t>
      </w:r>
      <w:r w:rsidR="00ED0877" w:rsidRPr="00587212">
        <w:rPr>
          <w:rFonts w:ascii="Times New Roman" w:hAnsi="Times New Roman"/>
          <w:bCs/>
          <w:szCs w:val="24"/>
        </w:rPr>
        <w:t xml:space="preserve">reported </w:t>
      </w:r>
      <w:r w:rsidR="00D456D3" w:rsidRPr="00587212">
        <w:rPr>
          <w:rFonts w:ascii="Times New Roman" w:hAnsi="Times New Roman"/>
          <w:bCs/>
          <w:szCs w:val="24"/>
        </w:rPr>
        <w:t xml:space="preserve">higher participation in </w:t>
      </w:r>
      <w:r w:rsidR="0091212F" w:rsidRPr="00587212">
        <w:rPr>
          <w:rFonts w:ascii="Times New Roman" w:hAnsi="Times New Roman"/>
          <w:bCs/>
          <w:szCs w:val="24"/>
        </w:rPr>
        <w:t xml:space="preserve">one or more </w:t>
      </w:r>
      <w:r w:rsidR="00ED0877" w:rsidRPr="00587212">
        <w:rPr>
          <w:rFonts w:ascii="Times New Roman" w:hAnsi="Times New Roman"/>
          <w:bCs/>
          <w:szCs w:val="24"/>
        </w:rPr>
        <w:t>utilitarian</w:t>
      </w:r>
      <w:r w:rsidR="0091212F" w:rsidRPr="00587212">
        <w:rPr>
          <w:rFonts w:ascii="Times New Roman" w:hAnsi="Times New Roman"/>
          <w:bCs/>
          <w:szCs w:val="24"/>
        </w:rPr>
        <w:t xml:space="preserve"> bouts (of 10 minutes or more</w:t>
      </w:r>
      <w:r w:rsidR="00847C71" w:rsidRPr="00587212">
        <w:rPr>
          <w:rFonts w:ascii="Times New Roman" w:hAnsi="Times New Roman"/>
          <w:bCs/>
          <w:szCs w:val="24"/>
        </w:rPr>
        <w:t>)</w:t>
      </w:r>
      <w:r w:rsidR="0091212F" w:rsidRPr="00587212">
        <w:rPr>
          <w:rFonts w:ascii="Times New Roman" w:hAnsi="Times New Roman"/>
          <w:bCs/>
          <w:szCs w:val="24"/>
        </w:rPr>
        <w:t xml:space="preserve"> per week </w:t>
      </w:r>
      <w:r w:rsidR="00D456D3" w:rsidRPr="00587212">
        <w:rPr>
          <w:rFonts w:ascii="Times New Roman" w:hAnsi="Times New Roman"/>
          <w:bCs/>
          <w:szCs w:val="24"/>
        </w:rPr>
        <w:t xml:space="preserve">among individuals living </w:t>
      </w:r>
      <w:r w:rsidR="00ED0877" w:rsidRPr="00587212">
        <w:rPr>
          <w:rFonts w:ascii="Times New Roman" w:hAnsi="Times New Roman"/>
          <w:bCs/>
          <w:szCs w:val="24"/>
        </w:rPr>
        <w:t xml:space="preserve">in </w:t>
      </w:r>
      <w:r w:rsidR="00A16F8A" w:rsidRPr="00587212">
        <w:rPr>
          <w:rFonts w:ascii="Times New Roman" w:hAnsi="Times New Roman"/>
          <w:bCs/>
          <w:szCs w:val="24"/>
        </w:rPr>
        <w:t>high-</w:t>
      </w:r>
      <w:r w:rsidR="00D456D3" w:rsidRPr="00587212">
        <w:rPr>
          <w:rFonts w:ascii="Times New Roman" w:hAnsi="Times New Roman"/>
          <w:bCs/>
          <w:szCs w:val="24"/>
        </w:rPr>
        <w:t xml:space="preserve">population density </w:t>
      </w:r>
      <w:r w:rsidR="00ED0877" w:rsidRPr="00587212">
        <w:rPr>
          <w:rFonts w:ascii="Times New Roman" w:hAnsi="Times New Roman"/>
          <w:bCs/>
          <w:szCs w:val="24"/>
        </w:rPr>
        <w:t xml:space="preserve">neighborhoods with good </w:t>
      </w:r>
      <w:r w:rsidR="00DB17AD" w:rsidRPr="00587212">
        <w:rPr>
          <w:rFonts w:ascii="Times New Roman" w:hAnsi="Times New Roman"/>
          <w:bCs/>
          <w:szCs w:val="24"/>
        </w:rPr>
        <w:t>street connectivity</w:t>
      </w:r>
      <w:r w:rsidR="00D456D3" w:rsidRPr="00587212">
        <w:rPr>
          <w:rFonts w:ascii="Times New Roman" w:hAnsi="Times New Roman"/>
          <w:bCs/>
          <w:szCs w:val="24"/>
        </w:rPr>
        <w:t xml:space="preserve"> and </w:t>
      </w:r>
      <w:r w:rsidR="00DB17AD" w:rsidRPr="00587212">
        <w:rPr>
          <w:rFonts w:ascii="Times New Roman" w:hAnsi="Times New Roman"/>
          <w:bCs/>
          <w:szCs w:val="24"/>
        </w:rPr>
        <w:t>sidewalk availability</w:t>
      </w:r>
      <w:r w:rsidR="00ED0877" w:rsidRPr="00587212">
        <w:rPr>
          <w:rFonts w:ascii="Times New Roman" w:hAnsi="Times New Roman"/>
          <w:bCs/>
          <w:szCs w:val="24"/>
        </w:rPr>
        <w:t>, but</w:t>
      </w:r>
      <w:r w:rsidR="000F17D6" w:rsidRPr="00587212">
        <w:rPr>
          <w:rFonts w:ascii="Times New Roman" w:hAnsi="Times New Roman"/>
          <w:bCs/>
          <w:szCs w:val="24"/>
        </w:rPr>
        <w:t xml:space="preserve"> </w:t>
      </w:r>
      <w:r w:rsidR="00847C71" w:rsidRPr="00587212">
        <w:rPr>
          <w:rFonts w:ascii="Times New Roman" w:hAnsi="Times New Roman"/>
          <w:bCs/>
          <w:szCs w:val="24"/>
        </w:rPr>
        <w:t xml:space="preserve">observed that participation in </w:t>
      </w:r>
      <w:r w:rsidR="0091212F" w:rsidRPr="00587212">
        <w:rPr>
          <w:rFonts w:ascii="Times New Roman" w:hAnsi="Times New Roman"/>
          <w:bCs/>
          <w:szCs w:val="24"/>
        </w:rPr>
        <w:t xml:space="preserve">one or more </w:t>
      </w:r>
      <w:r w:rsidR="00DB17AD" w:rsidRPr="00587212">
        <w:rPr>
          <w:rFonts w:ascii="Times New Roman" w:hAnsi="Times New Roman"/>
          <w:bCs/>
          <w:szCs w:val="24"/>
        </w:rPr>
        <w:t xml:space="preserve">recreational walking </w:t>
      </w:r>
      <w:r w:rsidR="0091212F" w:rsidRPr="00587212">
        <w:rPr>
          <w:rFonts w:ascii="Times New Roman" w:hAnsi="Times New Roman"/>
          <w:bCs/>
          <w:szCs w:val="24"/>
        </w:rPr>
        <w:t>bouts (of 10 minutes or more</w:t>
      </w:r>
      <w:r w:rsidR="00847C71" w:rsidRPr="00587212">
        <w:rPr>
          <w:rFonts w:ascii="Times New Roman" w:hAnsi="Times New Roman"/>
          <w:bCs/>
          <w:szCs w:val="24"/>
        </w:rPr>
        <w:t>)</w:t>
      </w:r>
      <w:r w:rsidR="0091212F" w:rsidRPr="00587212">
        <w:rPr>
          <w:rFonts w:ascii="Times New Roman" w:hAnsi="Times New Roman"/>
          <w:bCs/>
          <w:szCs w:val="24"/>
        </w:rPr>
        <w:t xml:space="preserve"> per week </w:t>
      </w:r>
      <w:r w:rsidR="00DB17AD" w:rsidRPr="00587212">
        <w:rPr>
          <w:rFonts w:ascii="Times New Roman" w:hAnsi="Times New Roman"/>
          <w:bCs/>
          <w:szCs w:val="24"/>
        </w:rPr>
        <w:t xml:space="preserve">to be </w:t>
      </w:r>
      <w:r w:rsidR="00ED0877" w:rsidRPr="00587212">
        <w:rPr>
          <w:rFonts w:ascii="Times New Roman" w:hAnsi="Times New Roman"/>
          <w:bCs/>
          <w:szCs w:val="24"/>
        </w:rPr>
        <w:t xml:space="preserve">primarily (positively) related to the neighborhood </w:t>
      </w:r>
      <w:r w:rsidR="00DB17AD" w:rsidRPr="00587212">
        <w:rPr>
          <w:rFonts w:ascii="Times New Roman" w:hAnsi="Times New Roman"/>
          <w:bCs/>
          <w:szCs w:val="24"/>
        </w:rPr>
        <w:t>income level</w:t>
      </w:r>
      <w:r w:rsidR="006138FE" w:rsidRPr="00587212">
        <w:rPr>
          <w:rFonts w:ascii="Times New Roman" w:hAnsi="Times New Roman"/>
          <w:bCs/>
          <w:szCs w:val="24"/>
        </w:rPr>
        <w:t xml:space="preserve"> (“neighborhood” was defined in the </w:t>
      </w:r>
      <w:proofErr w:type="spellStart"/>
      <w:r w:rsidR="006138FE" w:rsidRPr="00587212">
        <w:rPr>
          <w:rFonts w:ascii="Times New Roman" w:hAnsi="Times New Roman"/>
          <w:bCs/>
          <w:szCs w:val="24"/>
        </w:rPr>
        <w:t>Giehl</w:t>
      </w:r>
      <w:proofErr w:type="spellEnd"/>
      <w:r w:rsidR="006138FE" w:rsidRPr="00587212">
        <w:rPr>
          <w:rFonts w:ascii="Times New Roman" w:hAnsi="Times New Roman"/>
          <w:bCs/>
          <w:szCs w:val="24"/>
        </w:rPr>
        <w:t xml:space="preserve"> et al. study as corresponding to the census tract of the individual’s residence).</w:t>
      </w:r>
      <w:r w:rsidR="00FB052D" w:rsidRPr="00587212">
        <w:rPr>
          <w:rFonts w:ascii="Times New Roman" w:hAnsi="Times New Roman"/>
          <w:bCs/>
          <w:szCs w:val="24"/>
        </w:rPr>
        <w:t xml:space="preserve"> </w:t>
      </w:r>
      <w:r w:rsidR="00DB17AD" w:rsidRPr="00587212">
        <w:rPr>
          <w:rFonts w:ascii="Times New Roman" w:hAnsi="Times New Roman"/>
          <w:bCs/>
          <w:szCs w:val="24"/>
        </w:rPr>
        <w:t xml:space="preserve">Complementing these findings, </w:t>
      </w:r>
      <w:bookmarkStart w:id="19" w:name="_Hlk169960397"/>
      <w:r w:rsidR="00F93255" w:rsidRPr="00587212">
        <w:rPr>
          <w:rFonts w:ascii="Times New Roman" w:hAnsi="Times New Roman"/>
          <w:bCs/>
          <w:szCs w:val="24"/>
        </w:rPr>
        <w:fldChar w:fldCharType="begin"/>
      </w:r>
      <w:r w:rsidR="002F0EF8" w:rsidRPr="00587212">
        <w:rPr>
          <w:rFonts w:ascii="Times New Roman" w:hAnsi="Times New Roman"/>
          <w:bCs/>
          <w:szCs w:val="24"/>
        </w:rPr>
        <w:instrText xml:space="preserve"> ADDIN ZOTERO_ITEM CSL_CITATION {"citationID":"sLr79yZy","properties":{"formattedCitation":"(Yun, 2019)","plainCitation":"(Yun, 2019)","dontUpdate":true,"noteIndex":0},"citationItems":[{"id":929,"uris":["http://zotero.org/users/10132210/items/EPQERRNH"],"itemData":{"id":929,"type":"article-journal","abstract":"The aim of this study is to systematically review the relationship between neighborhood environments and all types of walking behaviors among older adults. Seventy peer-reviewed journal articles which met the selection criteria were examined. Research designs were summarized by geographical location and the associations of environmental characteristics and walking were calculated. Interactions between moderators and environmental characteristics for all types of walking were also categorized. Results have shown that transport walking is the most supported by neighborhood environmental characteristics. The positively related environmental characteristics are walkability, urbanization, land use mix-diversity and accessibility, walking amenities, and bicycle lanes. Total walking was positively associated with walkability and urbanization. Recreational walking was associated with neighborhood employment/income level, nearness to public transport/bus stops, and social cohesion. The most commonly used moderators were age and gender, but inconsistent moderating eﬀects between neighborhood environments and walking were also found. In densely populated environments such as Hong Kong, older adults walked mostly for both transport and recreation. In contrast, American older adults in low density areas walked less for transport and more for recreation. Findings support a strong relationship between neighborhood environments and older adults’ walking. Future research should focus on longitudinal studies and comparison studies by geographic location.","container-title":"Sustainability","DOI":"10.3390/su11123253","ISSN":"2071-1050","issue":"12","journalAbbreviation":"Sustainability","language":"en","page":"3253","source":"DOI.org (Crossref)","title":"Environmental Factors Associated with Older Adult’s Walking Behaviors: A Systematic Review of Quantitative Studies","title-short":"Environmental Factors Associated with Older Adult’s Walking Behaviors","volume":"11","author":[{"family":"Yun","given":"Hae Young"}],"issued":{"date-parts":[["2019",6,12]]}}}],"schema":"https://github.com/citation-style-language/schema/raw/master/csl-citation.json"} </w:instrText>
      </w:r>
      <w:r w:rsidR="00F93255" w:rsidRPr="00587212">
        <w:rPr>
          <w:rFonts w:ascii="Times New Roman" w:hAnsi="Times New Roman"/>
          <w:bCs/>
          <w:szCs w:val="24"/>
        </w:rPr>
        <w:fldChar w:fldCharType="separate"/>
      </w:r>
      <w:r w:rsidR="00F93255" w:rsidRPr="00587212">
        <w:rPr>
          <w:rFonts w:ascii="Times New Roman" w:hAnsi="Times New Roman"/>
          <w:szCs w:val="24"/>
        </w:rPr>
        <w:t>Yun (2019)</w:t>
      </w:r>
      <w:r w:rsidR="00F93255" w:rsidRPr="00587212">
        <w:rPr>
          <w:rFonts w:ascii="Times New Roman" w:hAnsi="Times New Roman"/>
          <w:bCs/>
          <w:szCs w:val="24"/>
        </w:rPr>
        <w:fldChar w:fldCharType="end"/>
      </w:r>
      <w:r w:rsidR="00F93255" w:rsidRPr="00587212">
        <w:rPr>
          <w:rFonts w:ascii="Times New Roman" w:hAnsi="Times New Roman"/>
          <w:bCs/>
          <w:szCs w:val="24"/>
        </w:rPr>
        <w:t xml:space="preserve"> </w:t>
      </w:r>
      <w:bookmarkEnd w:id="19"/>
      <w:r w:rsidR="000F17D6" w:rsidRPr="00587212">
        <w:rPr>
          <w:rFonts w:ascii="Times New Roman" w:hAnsi="Times New Roman"/>
          <w:bCs/>
          <w:szCs w:val="24"/>
        </w:rPr>
        <w:t xml:space="preserve">conducted a systematic review </w:t>
      </w:r>
      <w:r w:rsidR="000E0D83" w:rsidRPr="00587212">
        <w:rPr>
          <w:rFonts w:ascii="Times New Roman" w:hAnsi="Times New Roman"/>
          <w:bCs/>
          <w:szCs w:val="24"/>
        </w:rPr>
        <w:t xml:space="preserve">of </w:t>
      </w:r>
      <w:r w:rsidR="000F17D6" w:rsidRPr="00587212">
        <w:rPr>
          <w:rFonts w:ascii="Times New Roman" w:hAnsi="Times New Roman"/>
          <w:bCs/>
          <w:szCs w:val="24"/>
        </w:rPr>
        <w:t>studies</w:t>
      </w:r>
      <w:r w:rsidR="00847C71" w:rsidRPr="00587212">
        <w:rPr>
          <w:rFonts w:ascii="Times New Roman" w:hAnsi="Times New Roman"/>
          <w:bCs/>
          <w:szCs w:val="24"/>
        </w:rPr>
        <w:t xml:space="preserve"> </w:t>
      </w:r>
      <w:r w:rsidR="000F17D6" w:rsidRPr="00587212">
        <w:rPr>
          <w:rFonts w:ascii="Times New Roman" w:hAnsi="Times New Roman"/>
          <w:bCs/>
          <w:szCs w:val="24"/>
        </w:rPr>
        <w:t xml:space="preserve">on the </w:t>
      </w:r>
      <w:r w:rsidR="00C55421" w:rsidRPr="00587212">
        <w:rPr>
          <w:rFonts w:ascii="Times New Roman" w:hAnsi="Times New Roman"/>
          <w:bCs/>
          <w:szCs w:val="24"/>
        </w:rPr>
        <w:t>BE</w:t>
      </w:r>
      <w:r w:rsidR="000F17D6" w:rsidRPr="00587212">
        <w:rPr>
          <w:rFonts w:ascii="Times New Roman" w:hAnsi="Times New Roman"/>
          <w:bCs/>
          <w:szCs w:val="24"/>
        </w:rPr>
        <w:t xml:space="preserve"> factors associated with older adults</w:t>
      </w:r>
      <w:r w:rsidR="00137F85" w:rsidRPr="00587212">
        <w:rPr>
          <w:rFonts w:ascii="Times New Roman" w:hAnsi="Times New Roman"/>
          <w:bCs/>
          <w:szCs w:val="24"/>
        </w:rPr>
        <w:t>’</w:t>
      </w:r>
      <w:r w:rsidR="000F17D6" w:rsidRPr="00587212">
        <w:rPr>
          <w:rFonts w:ascii="Times New Roman" w:hAnsi="Times New Roman"/>
          <w:bCs/>
          <w:szCs w:val="24"/>
        </w:rPr>
        <w:t xml:space="preserve"> walking </w:t>
      </w:r>
      <w:r w:rsidR="00C55421" w:rsidRPr="00587212">
        <w:rPr>
          <w:rFonts w:ascii="Times New Roman" w:hAnsi="Times New Roman"/>
          <w:bCs/>
          <w:szCs w:val="24"/>
        </w:rPr>
        <w:t xml:space="preserve">behaviors </w:t>
      </w:r>
      <w:r w:rsidR="000F17D6" w:rsidRPr="00587212">
        <w:rPr>
          <w:rFonts w:ascii="Times New Roman" w:hAnsi="Times New Roman"/>
          <w:bCs/>
          <w:szCs w:val="24"/>
        </w:rPr>
        <w:t xml:space="preserve">and </w:t>
      </w:r>
      <w:r w:rsidR="00A325EE" w:rsidRPr="00587212">
        <w:rPr>
          <w:rFonts w:ascii="Times New Roman" w:hAnsi="Times New Roman"/>
          <w:bCs/>
          <w:szCs w:val="24"/>
        </w:rPr>
        <w:t>reported that utilitarian walking frequency is associated with the physical attributes of the built environment, wh</w:t>
      </w:r>
      <w:r w:rsidR="00C55421" w:rsidRPr="00587212">
        <w:rPr>
          <w:rFonts w:ascii="Times New Roman" w:hAnsi="Times New Roman"/>
          <w:bCs/>
          <w:szCs w:val="24"/>
        </w:rPr>
        <w:t>ile</w:t>
      </w:r>
      <w:r w:rsidR="00A325EE" w:rsidRPr="00587212">
        <w:rPr>
          <w:rFonts w:ascii="Times New Roman" w:hAnsi="Times New Roman"/>
          <w:bCs/>
          <w:szCs w:val="24"/>
        </w:rPr>
        <w:t xml:space="preserve"> recreational walking frequency is more closely linked to the neighborhood</w:t>
      </w:r>
      <w:r w:rsidR="00137F85" w:rsidRPr="00587212">
        <w:rPr>
          <w:rFonts w:ascii="Times New Roman" w:hAnsi="Times New Roman"/>
          <w:bCs/>
          <w:szCs w:val="24"/>
        </w:rPr>
        <w:t>’</w:t>
      </w:r>
      <w:r w:rsidR="00A325EE" w:rsidRPr="00587212">
        <w:rPr>
          <w:rFonts w:ascii="Times New Roman" w:hAnsi="Times New Roman"/>
          <w:bCs/>
          <w:szCs w:val="24"/>
        </w:rPr>
        <w:t xml:space="preserve">s social status. Additionally, </w:t>
      </w:r>
      <w:bookmarkStart w:id="20" w:name="_Hlk169960413"/>
      <w:r w:rsidR="006F4D05" w:rsidRPr="00587212">
        <w:rPr>
          <w:rFonts w:ascii="Times New Roman" w:hAnsi="Times New Roman"/>
          <w:bCs/>
          <w:szCs w:val="24"/>
        </w:rPr>
        <w:fldChar w:fldCharType="begin"/>
      </w:r>
      <w:r w:rsidR="002F0EF8" w:rsidRPr="00587212">
        <w:rPr>
          <w:rFonts w:ascii="Times New Roman" w:hAnsi="Times New Roman"/>
          <w:bCs/>
          <w:szCs w:val="24"/>
        </w:rPr>
        <w:instrText xml:space="preserve"> ADDIN ZOTERO_ITEM CSL_CITATION {"citationID":"atoeJi0h","properties":{"formattedCitation":"(Wu et al., 2021)","plainCitation":"(Wu et al., 2021)","dontUpdate":true,"noteIndex":0},"citationItems":[{"id":935,"uris":["http://zotero.org/users/10132210/items/9D6LJVGL"],"itemData":{"id":935,"type":"article-journal","abstract":"Methods: The walking frequency of old adults was derived from the Zhongshan Household Travel Survey (ZHTS) in 2012. The sample size of old adults aged 60 or over was 4784 from 274 urban and rural neighborhoods. A semi-parametric generalized additive model (GAMM) is used to analyze the non-linear or non-monotonic relationships between the built environment and the walking frequency among older adults.\nResults: We found that non-linear relationships exist among ﬁve out of the six built environment characteristics. Within certain thresholds, the population density, sidewalk density, bus stop density, land use mixture, and the percentage of green space are positively related to older adults’ walking trips. Furthermore, the land use mixture and the percentage of green space show an inverse “V”-shaped relationship.\nConclusions: Built environment features can either support or hinder the walking frequency among older adults. The ﬁndings in the current study contribute to effective land use and transport policies for promoting active travel among older adults.","container-title":"Frontiers in Public Health","DOI":"10.3389/fpubh.2021.686144","ISSN":"2296-2565","journalAbbreviation":"Front. Public Health","language":"en","page":"686144","source":"DOI.org (Crossref)","title":"Non-linear Relationships Between the Built Environment and Walking Frequency Among Older Adults in Zhongshan, China","volume":"9","author":[{"family":"Wu","given":"Jiani"},{"family":"Zhao","given":"Chunli"},{"family":"Li","given":"Chaoyang"},{"family":"Wang","given":"Tao"},{"family":"Wang","given":"Lanjing"},{"family":"Zhang","given":"Yi"}],"issued":{"date-parts":[["2021",8,5]]}}}],"schema":"https://github.com/citation-style-language/schema/raw/master/csl-citation.json"} </w:instrText>
      </w:r>
      <w:r w:rsidR="006F4D05" w:rsidRPr="00587212">
        <w:rPr>
          <w:rFonts w:ascii="Times New Roman" w:hAnsi="Times New Roman"/>
          <w:bCs/>
          <w:szCs w:val="24"/>
        </w:rPr>
        <w:fldChar w:fldCharType="separate"/>
      </w:r>
      <w:r w:rsidR="006F4D05" w:rsidRPr="00587212">
        <w:rPr>
          <w:rFonts w:ascii="Times New Roman" w:hAnsi="Times New Roman"/>
          <w:szCs w:val="24"/>
        </w:rPr>
        <w:t>Wu et al. (2021)</w:t>
      </w:r>
      <w:r w:rsidR="006F4D05" w:rsidRPr="00587212">
        <w:rPr>
          <w:rFonts w:ascii="Times New Roman" w:hAnsi="Times New Roman"/>
          <w:bCs/>
          <w:szCs w:val="24"/>
        </w:rPr>
        <w:fldChar w:fldCharType="end"/>
      </w:r>
      <w:bookmarkEnd w:id="20"/>
      <w:r w:rsidR="00847C71" w:rsidRPr="00587212">
        <w:rPr>
          <w:rFonts w:ascii="Times New Roman" w:hAnsi="Times New Roman"/>
          <w:bCs/>
          <w:szCs w:val="24"/>
        </w:rPr>
        <w:t xml:space="preserve"> </w:t>
      </w:r>
      <w:r w:rsidR="00C55421" w:rsidRPr="00587212">
        <w:rPr>
          <w:rFonts w:ascii="Times New Roman" w:hAnsi="Times New Roman"/>
          <w:bCs/>
          <w:szCs w:val="24"/>
        </w:rPr>
        <w:t>test</w:t>
      </w:r>
      <w:r w:rsidR="00847C71" w:rsidRPr="00587212">
        <w:rPr>
          <w:rFonts w:ascii="Times New Roman" w:hAnsi="Times New Roman"/>
          <w:bCs/>
          <w:szCs w:val="24"/>
        </w:rPr>
        <w:t>ed</w:t>
      </w:r>
      <w:r w:rsidR="005A4C43" w:rsidRPr="00587212">
        <w:rPr>
          <w:rFonts w:ascii="Times New Roman" w:hAnsi="Times New Roman"/>
          <w:bCs/>
          <w:szCs w:val="24"/>
        </w:rPr>
        <w:t xml:space="preserve"> non-linear relationships between </w:t>
      </w:r>
      <w:r w:rsidR="006138FE" w:rsidRPr="00587212">
        <w:rPr>
          <w:rFonts w:ascii="Times New Roman" w:hAnsi="Times New Roman"/>
          <w:bCs/>
          <w:szCs w:val="24"/>
        </w:rPr>
        <w:t xml:space="preserve">neighborhood </w:t>
      </w:r>
      <w:r w:rsidR="00C55421" w:rsidRPr="00587212">
        <w:rPr>
          <w:rFonts w:ascii="Times New Roman" w:hAnsi="Times New Roman"/>
          <w:bCs/>
          <w:szCs w:val="24"/>
        </w:rPr>
        <w:t xml:space="preserve">BE </w:t>
      </w:r>
      <w:r w:rsidR="005A4C43" w:rsidRPr="00587212">
        <w:rPr>
          <w:rFonts w:ascii="Times New Roman" w:hAnsi="Times New Roman"/>
          <w:bCs/>
          <w:szCs w:val="24"/>
        </w:rPr>
        <w:t xml:space="preserve">variables </w:t>
      </w:r>
      <w:r w:rsidR="006138FE" w:rsidRPr="00587212">
        <w:rPr>
          <w:rFonts w:ascii="Times New Roman" w:hAnsi="Times New Roman"/>
          <w:bCs/>
          <w:szCs w:val="24"/>
        </w:rPr>
        <w:t xml:space="preserve">(a neighborhood was defined as the traffic analysis zone (TAZ) of the individual’s residence) </w:t>
      </w:r>
      <w:r w:rsidR="005A4C43" w:rsidRPr="00587212">
        <w:rPr>
          <w:rFonts w:ascii="Times New Roman" w:hAnsi="Times New Roman"/>
          <w:bCs/>
          <w:szCs w:val="24"/>
        </w:rPr>
        <w:t xml:space="preserve">and </w:t>
      </w:r>
      <w:r w:rsidR="00C55421" w:rsidRPr="00587212">
        <w:rPr>
          <w:rFonts w:ascii="Times New Roman" w:hAnsi="Times New Roman"/>
          <w:bCs/>
          <w:szCs w:val="24"/>
        </w:rPr>
        <w:t xml:space="preserve">daily </w:t>
      </w:r>
      <w:r w:rsidR="005A4C43" w:rsidRPr="00587212">
        <w:rPr>
          <w:rFonts w:ascii="Times New Roman" w:hAnsi="Times New Roman"/>
          <w:bCs/>
          <w:szCs w:val="24"/>
        </w:rPr>
        <w:t xml:space="preserve">walking frequency among older adults in Zhongshan, China. </w:t>
      </w:r>
      <w:r w:rsidR="006138FE" w:rsidRPr="00587212">
        <w:rPr>
          <w:rFonts w:ascii="Times New Roman" w:hAnsi="Times New Roman"/>
          <w:bCs/>
          <w:szCs w:val="24"/>
        </w:rPr>
        <w:t>They f</w:t>
      </w:r>
      <w:r w:rsidR="005A4C43" w:rsidRPr="00587212">
        <w:rPr>
          <w:rFonts w:ascii="Times New Roman" w:hAnsi="Times New Roman"/>
          <w:bCs/>
          <w:szCs w:val="24"/>
        </w:rPr>
        <w:t xml:space="preserve">ound </w:t>
      </w:r>
      <w:r w:rsidR="00847C71" w:rsidRPr="00587212">
        <w:rPr>
          <w:rFonts w:ascii="Times New Roman" w:hAnsi="Times New Roman"/>
          <w:bCs/>
          <w:szCs w:val="24"/>
        </w:rPr>
        <w:t xml:space="preserve">significant non-linear effects of </w:t>
      </w:r>
      <w:r w:rsidR="005A4C43" w:rsidRPr="00587212">
        <w:rPr>
          <w:rFonts w:ascii="Times New Roman" w:hAnsi="Times New Roman"/>
          <w:bCs/>
          <w:szCs w:val="24"/>
        </w:rPr>
        <w:t>population density</w:t>
      </w:r>
      <w:r w:rsidR="00847C71" w:rsidRPr="00587212">
        <w:rPr>
          <w:rFonts w:ascii="Times New Roman" w:hAnsi="Times New Roman"/>
          <w:bCs/>
          <w:szCs w:val="24"/>
        </w:rPr>
        <w:t xml:space="preserve">, </w:t>
      </w:r>
      <w:r w:rsidR="005A4C43" w:rsidRPr="00587212">
        <w:rPr>
          <w:rFonts w:ascii="Times New Roman" w:hAnsi="Times New Roman"/>
          <w:bCs/>
          <w:szCs w:val="24"/>
        </w:rPr>
        <w:t>bus stop density</w:t>
      </w:r>
      <w:r w:rsidR="00847C71" w:rsidRPr="00587212">
        <w:rPr>
          <w:rFonts w:ascii="Times New Roman" w:hAnsi="Times New Roman"/>
          <w:bCs/>
          <w:szCs w:val="24"/>
        </w:rPr>
        <w:t>, land-use mix, and s</w:t>
      </w:r>
      <w:r w:rsidR="005A4C43" w:rsidRPr="00587212">
        <w:rPr>
          <w:rFonts w:ascii="Times New Roman" w:hAnsi="Times New Roman"/>
          <w:bCs/>
          <w:szCs w:val="24"/>
        </w:rPr>
        <w:t xml:space="preserve">idewalk density </w:t>
      </w:r>
      <w:r w:rsidR="00847C71" w:rsidRPr="00587212">
        <w:rPr>
          <w:rFonts w:ascii="Times New Roman" w:hAnsi="Times New Roman"/>
          <w:bCs/>
          <w:szCs w:val="24"/>
        </w:rPr>
        <w:t>on</w:t>
      </w:r>
      <w:r w:rsidR="005A4C43" w:rsidRPr="00587212">
        <w:rPr>
          <w:rFonts w:ascii="Times New Roman" w:hAnsi="Times New Roman"/>
          <w:bCs/>
          <w:szCs w:val="24"/>
        </w:rPr>
        <w:t xml:space="preserve"> walking frequency</w:t>
      </w:r>
      <w:r w:rsidR="00847C71" w:rsidRPr="00587212">
        <w:rPr>
          <w:rFonts w:ascii="Times New Roman" w:hAnsi="Times New Roman"/>
          <w:bCs/>
          <w:szCs w:val="24"/>
        </w:rPr>
        <w:t>.</w:t>
      </w:r>
      <w:r w:rsidR="005A4C43" w:rsidRPr="00587212">
        <w:rPr>
          <w:rFonts w:ascii="Times New Roman" w:hAnsi="Times New Roman"/>
          <w:bCs/>
          <w:szCs w:val="24"/>
        </w:rPr>
        <w:t xml:space="preserve"> </w:t>
      </w:r>
      <w:r w:rsidR="00D570A8" w:rsidRPr="00587212">
        <w:rPr>
          <w:rFonts w:ascii="Times New Roman" w:hAnsi="Times New Roman"/>
          <w:bCs/>
          <w:szCs w:val="24"/>
        </w:rPr>
        <w:fldChar w:fldCharType="begin"/>
      </w:r>
      <w:r w:rsidR="00FA216E" w:rsidRPr="00587212">
        <w:rPr>
          <w:rFonts w:ascii="Times New Roman" w:hAnsi="Times New Roman"/>
          <w:bCs/>
          <w:szCs w:val="24"/>
        </w:rPr>
        <w:instrText xml:space="preserve"> ADDIN ZOTERO_ITEM CSL_CITATION {"citationID":"49SPgnVc","properties":{"formattedCitation":"(Wu et al., 2021)","plainCitation":"(Wu et al., 2021)","dontUpdate":true,"noteIndex":0},"citationItems":[{"id":935,"uris":["http://zotero.org/users/10132210/items/9D6LJVGL"],"itemData":{"id":935,"type":"article-journal","abstract":"Methods: The walking frequency of old adults was derived from the Zhongshan Household Travel Survey (ZHTS) in 2012. The sample size of old adults aged 60 or over was 4784 from 274 urban and rural neighborhoods. A semi-parametric generalized additive model (GAMM) is used to analyze the non-linear or non-monotonic relationships between the built environment and the walking frequency among older adults.\nResults: We found that non-linear relationships exist among ﬁve out of the six built environment characteristics. Within certain thresholds, the population density, sidewalk density, bus stop density, land use mixture, and the percentage of green space are positively related to older adults’ walking trips. Furthermore, the land use mixture and the percentage of green space show an inverse “V”-shaped relationship.\nConclusions: Built environment features can either support or hinder the walking frequency among older adults. The ﬁndings in the current study contribute to effective land use and transport policies for promoting active travel among older adults.","container-title":"Frontiers in Public Health","DOI":"10.3389/fpubh.2021.686144","ISSN":"2296-2565","journalAbbreviation":"Front. Public Health","language":"en","page":"686144","source":"DOI.org (Crossref)","title":"Non-linear Relationships Between the Built Environment and Walking Frequency Among Older Adults in Zhongshan, China","volume":"9","author":[{"family":"Wu","given":"Jiani"},{"family":"Zhao","given":"Chunli"},{"family":"Li","given":"Chaoyang"},{"family":"Wang","given":"Tao"},{"family":"Wang","given":"Lanjing"},{"family":"Zhang","given":"Yi"}],"issued":{"date-parts":[["2021",8,5]]}}}],"schema":"https://github.com/citation-style-language/schema/raw/master/csl-citation.json"} </w:instrText>
      </w:r>
      <w:r w:rsidR="00D570A8" w:rsidRPr="00587212">
        <w:rPr>
          <w:rFonts w:ascii="Times New Roman" w:hAnsi="Times New Roman"/>
          <w:bCs/>
          <w:szCs w:val="24"/>
        </w:rPr>
        <w:fldChar w:fldCharType="separate"/>
      </w:r>
      <w:r w:rsidR="00D570A8" w:rsidRPr="00587212">
        <w:rPr>
          <w:rFonts w:ascii="Times New Roman" w:hAnsi="Times New Roman"/>
          <w:szCs w:val="24"/>
        </w:rPr>
        <w:t>Wu et al. (2021)</w:t>
      </w:r>
      <w:r w:rsidR="00D570A8" w:rsidRPr="00587212">
        <w:rPr>
          <w:rFonts w:ascii="Times New Roman" w:hAnsi="Times New Roman"/>
          <w:bCs/>
          <w:szCs w:val="24"/>
        </w:rPr>
        <w:fldChar w:fldCharType="end"/>
      </w:r>
      <w:r w:rsidR="00D570A8" w:rsidRPr="00587212">
        <w:rPr>
          <w:rFonts w:ascii="Times New Roman" w:hAnsi="Times New Roman"/>
          <w:bCs/>
          <w:szCs w:val="24"/>
        </w:rPr>
        <w:t xml:space="preserve"> also presented associations between personal and household sociodemographic</w:t>
      </w:r>
      <w:r w:rsidR="00D83AA1" w:rsidRPr="00587212">
        <w:rPr>
          <w:rFonts w:ascii="Times New Roman" w:eastAsiaTheme="minorEastAsia" w:hAnsi="Times New Roman"/>
          <w:bCs/>
          <w:szCs w:val="24"/>
          <w:lang w:eastAsia="ko-KR"/>
        </w:rPr>
        <w:t xml:space="preserve"> factors</w:t>
      </w:r>
      <w:r w:rsidR="00D570A8" w:rsidRPr="00587212">
        <w:rPr>
          <w:rFonts w:ascii="Times New Roman" w:hAnsi="Times New Roman"/>
          <w:bCs/>
          <w:szCs w:val="24"/>
        </w:rPr>
        <w:t xml:space="preserve"> and walking frequency among older adults</w:t>
      </w:r>
      <w:r w:rsidR="005A4C43" w:rsidRPr="00587212">
        <w:rPr>
          <w:rFonts w:ascii="Times New Roman" w:hAnsi="Times New Roman"/>
          <w:bCs/>
          <w:szCs w:val="24"/>
        </w:rPr>
        <w:t>. The results</w:t>
      </w:r>
      <w:r w:rsidR="005A4C43" w:rsidRPr="00141DA5">
        <w:rPr>
          <w:rFonts w:ascii="Times New Roman" w:hAnsi="Times New Roman"/>
          <w:bCs/>
          <w:szCs w:val="24"/>
        </w:rPr>
        <w:t xml:space="preserve"> showed that women, those aged 60 to 70 years, and those with a positive attitude toward walking exhibited higher walking frequency, while employed individuals walked</w:t>
      </w:r>
      <w:r w:rsidR="00BF4EDE" w:rsidRPr="005C237C">
        <w:rPr>
          <w:rFonts w:ascii="Times New Roman" w:hAnsi="Times New Roman"/>
          <w:bCs/>
          <w:szCs w:val="24"/>
        </w:rPr>
        <w:t xml:space="preserve"> significantly</w:t>
      </w:r>
      <w:r w:rsidR="005A4C43" w:rsidRPr="002427BC">
        <w:rPr>
          <w:rFonts w:ascii="Times New Roman" w:hAnsi="Times New Roman"/>
          <w:bCs/>
          <w:szCs w:val="24"/>
        </w:rPr>
        <w:t xml:space="preserve"> less.</w:t>
      </w:r>
    </w:p>
    <w:p w14:paraId="38BD9776" w14:textId="77777777" w:rsidR="003518AB" w:rsidRDefault="00627C3A" w:rsidP="003518AB">
      <w:pPr>
        <w:ind w:firstLine="720"/>
        <w:jc w:val="both"/>
        <w:rPr>
          <w:rFonts w:ascii="Times New Roman" w:hAnsi="Times New Roman"/>
          <w:bCs/>
          <w:szCs w:val="24"/>
        </w:rPr>
      </w:pPr>
      <w:r w:rsidRPr="001F57F8">
        <w:rPr>
          <w:rFonts w:ascii="Times New Roman" w:hAnsi="Times New Roman"/>
          <w:bCs/>
          <w:szCs w:val="24"/>
        </w:rPr>
        <w:t>During the COVID-19 pand</w:t>
      </w:r>
      <w:r w:rsidRPr="00613B7F">
        <w:rPr>
          <w:rFonts w:ascii="Times New Roman" w:hAnsi="Times New Roman"/>
          <w:bCs/>
          <w:szCs w:val="24"/>
        </w:rPr>
        <w:t>emic, there has been an observable sh</w:t>
      </w:r>
      <w:r w:rsidR="00596FC9" w:rsidRPr="00613B7F">
        <w:rPr>
          <w:rFonts w:ascii="Times New Roman" w:hAnsi="Times New Roman"/>
          <w:bCs/>
          <w:szCs w:val="24"/>
        </w:rPr>
        <w:t>ift</w:t>
      </w:r>
      <w:r w:rsidRPr="00613B7F">
        <w:rPr>
          <w:rFonts w:ascii="Times New Roman" w:hAnsi="Times New Roman"/>
          <w:bCs/>
          <w:szCs w:val="24"/>
        </w:rPr>
        <w:t xml:space="preserve"> in travel behavior, including walking. The long</w:t>
      </w:r>
      <w:r w:rsidRPr="00587212">
        <w:rPr>
          <w:rFonts w:ascii="Times New Roman" w:hAnsi="Times New Roman"/>
          <w:bCs/>
          <w:szCs w:val="24"/>
        </w:rPr>
        <w:t xml:space="preserve">-term effect of </w:t>
      </w:r>
      <w:r w:rsidR="00596FC9" w:rsidRPr="00587212">
        <w:rPr>
          <w:rFonts w:ascii="Times New Roman" w:hAnsi="Times New Roman"/>
          <w:bCs/>
          <w:szCs w:val="24"/>
        </w:rPr>
        <w:t xml:space="preserve">the pandemic on walking behavior </w:t>
      </w:r>
      <w:r w:rsidR="00C55421" w:rsidRPr="00587212">
        <w:rPr>
          <w:rFonts w:ascii="Times New Roman" w:hAnsi="Times New Roman"/>
          <w:bCs/>
          <w:szCs w:val="24"/>
        </w:rPr>
        <w:t>is</w:t>
      </w:r>
      <w:r w:rsidR="005A4C43" w:rsidRPr="00587212">
        <w:rPr>
          <w:rFonts w:ascii="Times New Roman" w:hAnsi="Times New Roman"/>
          <w:bCs/>
          <w:szCs w:val="24"/>
        </w:rPr>
        <w:t xml:space="preserve"> </w:t>
      </w:r>
      <w:r w:rsidRPr="00587212">
        <w:rPr>
          <w:rFonts w:ascii="Times New Roman" w:hAnsi="Times New Roman"/>
          <w:bCs/>
          <w:szCs w:val="24"/>
        </w:rPr>
        <w:t xml:space="preserve">the subject of emerging research, though the number of </w:t>
      </w:r>
      <w:r w:rsidR="000E0D83" w:rsidRPr="00587212">
        <w:rPr>
          <w:rFonts w:ascii="Times New Roman" w:hAnsi="Times New Roman"/>
          <w:bCs/>
          <w:szCs w:val="24"/>
        </w:rPr>
        <w:t>studies</w:t>
      </w:r>
      <w:r w:rsidRPr="00587212">
        <w:rPr>
          <w:rFonts w:ascii="Times New Roman" w:hAnsi="Times New Roman"/>
          <w:bCs/>
          <w:szCs w:val="24"/>
        </w:rPr>
        <w:t xml:space="preserve"> on this topic is limited due to the relatively short period available for assessing long-term behavioral changes. </w:t>
      </w:r>
      <w:r w:rsidR="00596FC9" w:rsidRPr="00587212">
        <w:rPr>
          <w:rFonts w:ascii="Times New Roman" w:hAnsi="Times New Roman"/>
          <w:bCs/>
          <w:szCs w:val="24"/>
        </w:rPr>
        <w:t xml:space="preserve">However, research conducted by </w:t>
      </w:r>
      <w:bookmarkStart w:id="21" w:name="_Hlk169960456"/>
      <w:r w:rsidRPr="00587212">
        <w:rPr>
          <w:rFonts w:ascii="Times New Roman" w:hAnsi="Times New Roman"/>
          <w:bCs/>
          <w:szCs w:val="24"/>
        </w:rPr>
        <w:fldChar w:fldCharType="begin"/>
      </w:r>
      <w:r w:rsidR="002F0EF8" w:rsidRPr="00587212">
        <w:rPr>
          <w:rFonts w:ascii="Times New Roman" w:hAnsi="Times New Roman"/>
          <w:bCs/>
          <w:szCs w:val="24"/>
        </w:rPr>
        <w:instrText xml:space="preserve"> ADDIN ZOTERO_ITEM CSL_CITATION {"citationID":"mgn4H5Ht","properties":{"formattedCitation":"(Hwang et al., 2023; Younes et al., 2023)","plainCitation":"(Hwang et al., 2023; Younes et al., 2023)","dontUpdate":true,"noteIndex":0},"citationItems":[{"id":968,"uris":["http://zotero.org/users/10132210/items/ZARTVWR5"],"itemData":{"id":968,"type":"article-journal","container-title":"Technical paper, Department of Civil, Architectural and Environmental Engineering, The University of Texas at Austin","title":"An analysis of walking frequency before and after the pandemic","author":[{"family":"Hwang","given":"Hyunjun"},{"family":"Haddad","given":"Angela"},{"family":"Batur","given":"Irfan"},{"family":"Saxena","given":"Shobhit"},{"family":"Pendyala","given":"Ram M"},{"family":"Bhat","given":"Chandra R"}],"issued":{"date-parts":[["2023"]]}}},{"id":1072,"uris":["http://zotero.org/users/10132210/items/YYD86KPV"],"itemData":{"id":1072,"type":"article-journal","abstract":"We investigate the relationship between people who worked from home during the pandemic and how often they walked before, during, and after COVID. We find that people who worked from home during the pandemic had the largest increases in walking frequency compared to people who did not work from home and people who were unemployed. Similarly, people who work from home also expect to walk more after the pandemic subsides compared to others. After controlling for socio-economic, demographic, and transportation factors, we found that working from home and having a high income are associated with a higher propensity of walking during and after the pandemic.","container-title":"Findings","DOI":"10.32866/001c.78110","ISSN":"2652-8800","language":"en","license":"https://creativecommons.org/licenses/by-sa/4.0","source":"DOI.org (Crossref)","title":"Working from Home and Walking during and after COVID","URL":"https://findingspress.org/article/78110-working-from-home-and-walking-during-and-after-covid","author":[{"family":"Younes","given":"Hannah"},{"family":"Noland","given":"Robert B."},{"family":"Von Hagen","given":"Leigh Ann"},{"family":"Sinclair","given":"James"}],"accessed":{"date-parts":[["2024",4,3]]},"issued":{"date-parts":[["2023",6,27]]}}}],"schema":"https://github.com/citation-style-language/schema/raw/master/csl-citation.json"} </w:instrText>
      </w:r>
      <w:r w:rsidRPr="00587212">
        <w:rPr>
          <w:rFonts w:ascii="Times New Roman" w:hAnsi="Times New Roman"/>
          <w:bCs/>
          <w:szCs w:val="24"/>
        </w:rPr>
        <w:fldChar w:fldCharType="separate"/>
      </w:r>
      <w:r w:rsidRPr="00587212">
        <w:rPr>
          <w:rFonts w:ascii="Times New Roman" w:hAnsi="Times New Roman"/>
          <w:szCs w:val="24"/>
        </w:rPr>
        <w:t>Hwang et al. (2023)</w:t>
      </w:r>
      <w:r w:rsidR="00AB3EAC" w:rsidRPr="00587212">
        <w:rPr>
          <w:rFonts w:ascii="Times New Roman" w:hAnsi="Times New Roman"/>
          <w:szCs w:val="24"/>
        </w:rPr>
        <w:t xml:space="preserve"> </w:t>
      </w:r>
      <w:r w:rsidRPr="00587212">
        <w:rPr>
          <w:rFonts w:ascii="Times New Roman" w:hAnsi="Times New Roman"/>
          <w:szCs w:val="24"/>
        </w:rPr>
        <w:t>and Younes et al. (2023)</w:t>
      </w:r>
      <w:r w:rsidRPr="00587212">
        <w:rPr>
          <w:rFonts w:ascii="Times New Roman" w:hAnsi="Times New Roman"/>
          <w:bCs/>
          <w:szCs w:val="24"/>
        </w:rPr>
        <w:fldChar w:fldCharType="end"/>
      </w:r>
      <w:r w:rsidRPr="00587212">
        <w:rPr>
          <w:rFonts w:ascii="Times New Roman" w:hAnsi="Times New Roman"/>
          <w:bCs/>
          <w:szCs w:val="24"/>
        </w:rPr>
        <w:t xml:space="preserve"> </w:t>
      </w:r>
      <w:bookmarkEnd w:id="21"/>
      <w:r w:rsidRPr="00587212">
        <w:rPr>
          <w:rFonts w:ascii="Times New Roman" w:hAnsi="Times New Roman"/>
          <w:bCs/>
          <w:szCs w:val="24"/>
        </w:rPr>
        <w:t>us</w:t>
      </w:r>
      <w:r w:rsidR="00596FC9" w:rsidRPr="00587212">
        <w:rPr>
          <w:rFonts w:ascii="Times New Roman" w:hAnsi="Times New Roman"/>
          <w:bCs/>
          <w:szCs w:val="24"/>
        </w:rPr>
        <w:t>ed</w:t>
      </w:r>
      <w:r w:rsidRPr="00587212">
        <w:rPr>
          <w:rFonts w:ascii="Times New Roman" w:hAnsi="Times New Roman"/>
          <w:bCs/>
          <w:szCs w:val="24"/>
        </w:rPr>
        <w:t xml:space="preserve"> </w:t>
      </w:r>
      <w:r w:rsidR="009D33FC" w:rsidRPr="00587212">
        <w:rPr>
          <w:rFonts w:ascii="Times New Roman" w:hAnsi="Times New Roman"/>
          <w:bCs/>
          <w:szCs w:val="24"/>
        </w:rPr>
        <w:t>reported walking frequency</w:t>
      </w:r>
      <w:r w:rsidRPr="00587212">
        <w:rPr>
          <w:rFonts w:ascii="Times New Roman" w:hAnsi="Times New Roman"/>
          <w:bCs/>
          <w:szCs w:val="24"/>
        </w:rPr>
        <w:t xml:space="preserve"> </w:t>
      </w:r>
      <w:r w:rsidR="009D33FC" w:rsidRPr="00587212">
        <w:rPr>
          <w:rFonts w:ascii="Times New Roman" w:hAnsi="Times New Roman"/>
          <w:bCs/>
          <w:szCs w:val="24"/>
        </w:rPr>
        <w:t>and/</w:t>
      </w:r>
      <w:r w:rsidRPr="00587212">
        <w:rPr>
          <w:rFonts w:ascii="Times New Roman" w:hAnsi="Times New Roman"/>
          <w:bCs/>
          <w:szCs w:val="24"/>
        </w:rPr>
        <w:t>or</w:t>
      </w:r>
      <w:r w:rsidR="00596FC9" w:rsidRPr="00587212">
        <w:rPr>
          <w:rFonts w:ascii="Times New Roman" w:hAnsi="Times New Roman"/>
          <w:bCs/>
          <w:szCs w:val="24"/>
        </w:rPr>
        <w:t xml:space="preserve"> intentions </w:t>
      </w:r>
      <w:r w:rsidR="009D33FC" w:rsidRPr="00587212">
        <w:rPr>
          <w:rFonts w:ascii="Times New Roman" w:hAnsi="Times New Roman"/>
          <w:bCs/>
          <w:szCs w:val="24"/>
        </w:rPr>
        <w:t>regarding walking frequency</w:t>
      </w:r>
      <w:r w:rsidR="00847C71" w:rsidRPr="00587212">
        <w:rPr>
          <w:rFonts w:ascii="Times New Roman" w:hAnsi="Times New Roman"/>
          <w:bCs/>
          <w:szCs w:val="24"/>
        </w:rPr>
        <w:t xml:space="preserve"> to study post-pandemic walking behavior</w:t>
      </w:r>
      <w:r w:rsidRPr="00587212">
        <w:rPr>
          <w:rFonts w:ascii="Times New Roman" w:hAnsi="Times New Roman"/>
          <w:bCs/>
          <w:szCs w:val="24"/>
        </w:rPr>
        <w:t xml:space="preserve">. </w:t>
      </w:r>
      <w:r w:rsidR="00AB3EAC" w:rsidRPr="00587212">
        <w:rPr>
          <w:rFonts w:ascii="Times New Roman" w:hAnsi="Times New Roman"/>
          <w:bCs/>
          <w:szCs w:val="24"/>
        </w:rPr>
        <w:t xml:space="preserve">Hwang used a national U.S. sample, while Younes used a sample collected in New Jersey, U.S. </w:t>
      </w:r>
      <w:r w:rsidR="00596FC9" w:rsidRPr="00587212">
        <w:rPr>
          <w:rFonts w:ascii="Times New Roman" w:hAnsi="Times New Roman"/>
          <w:bCs/>
          <w:szCs w:val="24"/>
        </w:rPr>
        <w:t xml:space="preserve">Although both studies did not specifically </w:t>
      </w:r>
      <w:r w:rsidRPr="00587212">
        <w:rPr>
          <w:rFonts w:ascii="Times New Roman" w:hAnsi="Times New Roman"/>
          <w:bCs/>
          <w:szCs w:val="24"/>
        </w:rPr>
        <w:t>focus on</w:t>
      </w:r>
      <w:r w:rsidR="00847C71" w:rsidRPr="00587212">
        <w:rPr>
          <w:rFonts w:ascii="Times New Roman" w:hAnsi="Times New Roman"/>
          <w:bCs/>
          <w:szCs w:val="24"/>
        </w:rPr>
        <w:t xml:space="preserve"> </w:t>
      </w:r>
      <w:r w:rsidRPr="00587212">
        <w:rPr>
          <w:rFonts w:ascii="Times New Roman" w:hAnsi="Times New Roman"/>
          <w:bCs/>
          <w:szCs w:val="24"/>
        </w:rPr>
        <w:t xml:space="preserve">adults aged over 50 years, their findings suggest that </w:t>
      </w:r>
      <w:r w:rsidR="00596FC9" w:rsidRPr="00587212">
        <w:rPr>
          <w:rFonts w:ascii="Times New Roman" w:hAnsi="Times New Roman"/>
          <w:bCs/>
          <w:szCs w:val="24"/>
        </w:rPr>
        <w:t>individuals</w:t>
      </w:r>
      <w:r w:rsidRPr="00587212">
        <w:rPr>
          <w:rFonts w:ascii="Times New Roman" w:hAnsi="Times New Roman"/>
          <w:bCs/>
          <w:szCs w:val="24"/>
        </w:rPr>
        <w:t xml:space="preserve"> with</w:t>
      </w:r>
      <w:r w:rsidR="00596FC9" w:rsidRPr="00587212">
        <w:rPr>
          <w:rFonts w:ascii="Times New Roman" w:hAnsi="Times New Roman"/>
          <w:bCs/>
          <w:szCs w:val="24"/>
        </w:rPr>
        <w:t xml:space="preserve"> greater flexibility</w:t>
      </w:r>
      <w:r w:rsidRPr="00587212">
        <w:rPr>
          <w:rFonts w:ascii="Times New Roman" w:hAnsi="Times New Roman"/>
          <w:bCs/>
          <w:szCs w:val="24"/>
        </w:rPr>
        <w:t xml:space="preserve"> </w:t>
      </w:r>
      <w:r w:rsidR="000E0D83" w:rsidRPr="00587212">
        <w:rPr>
          <w:rFonts w:ascii="Times New Roman" w:hAnsi="Times New Roman"/>
          <w:bCs/>
          <w:szCs w:val="24"/>
        </w:rPr>
        <w:t xml:space="preserve">and </w:t>
      </w:r>
      <w:r w:rsidRPr="00587212">
        <w:rPr>
          <w:rFonts w:ascii="Times New Roman" w:hAnsi="Times New Roman"/>
          <w:bCs/>
          <w:szCs w:val="24"/>
        </w:rPr>
        <w:t>resource</w:t>
      </w:r>
      <w:r w:rsidR="00596FC9" w:rsidRPr="00587212">
        <w:rPr>
          <w:rFonts w:ascii="Times New Roman" w:hAnsi="Times New Roman"/>
          <w:bCs/>
          <w:szCs w:val="24"/>
        </w:rPr>
        <w:t>s</w:t>
      </w:r>
      <w:r w:rsidRPr="00587212">
        <w:rPr>
          <w:rFonts w:ascii="Times New Roman" w:hAnsi="Times New Roman"/>
          <w:bCs/>
          <w:szCs w:val="24"/>
        </w:rPr>
        <w:t xml:space="preserve">, such as </w:t>
      </w:r>
      <w:r w:rsidR="00596FC9" w:rsidRPr="00587212">
        <w:rPr>
          <w:rFonts w:ascii="Times New Roman" w:hAnsi="Times New Roman"/>
          <w:bCs/>
          <w:szCs w:val="24"/>
        </w:rPr>
        <w:t xml:space="preserve">the ability </w:t>
      </w:r>
      <w:r w:rsidRPr="00587212">
        <w:rPr>
          <w:rFonts w:ascii="Times New Roman" w:hAnsi="Times New Roman"/>
          <w:bCs/>
          <w:szCs w:val="24"/>
        </w:rPr>
        <w:t>to work from home</w:t>
      </w:r>
      <w:r w:rsidR="00596FC9" w:rsidRPr="00587212">
        <w:rPr>
          <w:rFonts w:ascii="Times New Roman" w:hAnsi="Times New Roman"/>
          <w:bCs/>
          <w:szCs w:val="24"/>
        </w:rPr>
        <w:t xml:space="preserve"> </w:t>
      </w:r>
      <w:r w:rsidR="00847C71" w:rsidRPr="00587212">
        <w:rPr>
          <w:rFonts w:ascii="Times New Roman" w:hAnsi="Times New Roman"/>
          <w:bCs/>
          <w:szCs w:val="24"/>
        </w:rPr>
        <w:t>and</w:t>
      </w:r>
      <w:r w:rsidRPr="00587212">
        <w:rPr>
          <w:rFonts w:ascii="Times New Roman" w:hAnsi="Times New Roman"/>
          <w:bCs/>
          <w:szCs w:val="24"/>
        </w:rPr>
        <w:t xml:space="preserve"> higher income levels</w:t>
      </w:r>
      <w:r w:rsidR="00596FC9" w:rsidRPr="00587212">
        <w:rPr>
          <w:rFonts w:ascii="Times New Roman" w:hAnsi="Times New Roman"/>
          <w:bCs/>
          <w:szCs w:val="24"/>
        </w:rPr>
        <w:t>,</w:t>
      </w:r>
      <w:r w:rsidRPr="00587212">
        <w:rPr>
          <w:rFonts w:ascii="Times New Roman" w:hAnsi="Times New Roman"/>
          <w:bCs/>
          <w:szCs w:val="24"/>
        </w:rPr>
        <w:t xml:space="preserve"> </w:t>
      </w:r>
      <w:r w:rsidR="00847C71" w:rsidRPr="00587212">
        <w:rPr>
          <w:rFonts w:ascii="Times New Roman" w:hAnsi="Times New Roman"/>
          <w:bCs/>
          <w:szCs w:val="24"/>
        </w:rPr>
        <w:t>walked more frequently than their peers</w:t>
      </w:r>
      <w:r w:rsidRPr="00587212">
        <w:rPr>
          <w:rFonts w:ascii="Times New Roman" w:hAnsi="Times New Roman"/>
          <w:bCs/>
          <w:szCs w:val="24"/>
        </w:rPr>
        <w:t>. Hwang et al. (2023)</w:t>
      </w:r>
      <w:r w:rsidR="00596FC9" w:rsidRPr="00587212">
        <w:rPr>
          <w:rFonts w:ascii="Times New Roman" w:hAnsi="Times New Roman"/>
          <w:bCs/>
          <w:szCs w:val="24"/>
        </w:rPr>
        <w:t xml:space="preserve"> further</w:t>
      </w:r>
      <w:r w:rsidRPr="00587212">
        <w:rPr>
          <w:rFonts w:ascii="Times New Roman" w:hAnsi="Times New Roman"/>
          <w:bCs/>
          <w:szCs w:val="24"/>
        </w:rPr>
        <w:t xml:space="preserve"> provide</w:t>
      </w:r>
      <w:r w:rsidR="005A4C43" w:rsidRPr="00587212">
        <w:rPr>
          <w:rFonts w:ascii="Times New Roman" w:hAnsi="Times New Roman"/>
          <w:bCs/>
          <w:szCs w:val="24"/>
        </w:rPr>
        <w:t>d</w:t>
      </w:r>
      <w:r w:rsidRPr="00587212">
        <w:rPr>
          <w:rFonts w:ascii="Times New Roman" w:hAnsi="Times New Roman"/>
          <w:bCs/>
          <w:szCs w:val="24"/>
        </w:rPr>
        <w:t xml:space="preserve"> a comparative analysis of walking frequency before and after the pandemic</w:t>
      </w:r>
      <w:r w:rsidR="00847C71" w:rsidRPr="00587212">
        <w:rPr>
          <w:rFonts w:ascii="Times New Roman" w:hAnsi="Times New Roman"/>
          <w:bCs/>
          <w:szCs w:val="24"/>
        </w:rPr>
        <w:t xml:space="preserve">, noting a </w:t>
      </w:r>
      <w:r w:rsidRPr="00587212">
        <w:rPr>
          <w:rFonts w:ascii="Times New Roman" w:hAnsi="Times New Roman"/>
          <w:bCs/>
          <w:szCs w:val="24"/>
        </w:rPr>
        <w:t>dec</w:t>
      </w:r>
      <w:r w:rsidR="00847C71" w:rsidRPr="00587212">
        <w:rPr>
          <w:rFonts w:ascii="Times New Roman" w:hAnsi="Times New Roman"/>
          <w:bCs/>
          <w:szCs w:val="24"/>
        </w:rPr>
        <w:t xml:space="preserve">line </w:t>
      </w:r>
      <w:r w:rsidR="00596FC9" w:rsidRPr="00587212">
        <w:rPr>
          <w:rFonts w:ascii="Times New Roman" w:hAnsi="Times New Roman"/>
          <w:bCs/>
          <w:szCs w:val="24"/>
        </w:rPr>
        <w:t>in</w:t>
      </w:r>
      <w:r w:rsidRPr="00587212">
        <w:rPr>
          <w:rFonts w:ascii="Times New Roman" w:hAnsi="Times New Roman"/>
          <w:bCs/>
          <w:szCs w:val="24"/>
        </w:rPr>
        <w:t xml:space="preserve"> walking activity among individuals over 65</w:t>
      </w:r>
      <w:r w:rsidR="006B4E66" w:rsidRPr="00587212">
        <w:rPr>
          <w:rFonts w:ascii="Times New Roman" w:hAnsi="Times New Roman"/>
          <w:bCs/>
          <w:szCs w:val="24"/>
        </w:rPr>
        <w:t xml:space="preserve"> years of age</w:t>
      </w:r>
      <w:r w:rsidR="00156C80" w:rsidRPr="00587212">
        <w:rPr>
          <w:rFonts w:ascii="Times New Roman" w:hAnsi="Times New Roman"/>
          <w:bCs/>
          <w:szCs w:val="24"/>
        </w:rPr>
        <w:t>.</w:t>
      </w:r>
      <w:r w:rsidR="006B4E66" w:rsidRPr="00587212">
        <w:rPr>
          <w:rFonts w:ascii="Times New Roman" w:hAnsi="Times New Roman"/>
          <w:bCs/>
          <w:szCs w:val="24"/>
        </w:rPr>
        <w:t xml:space="preserve"> Similar to</w:t>
      </w:r>
      <w:r w:rsidR="00BF497C" w:rsidRPr="00587212">
        <w:rPr>
          <w:rFonts w:ascii="Times New Roman" w:eastAsiaTheme="minorEastAsia" w:hAnsi="Times New Roman" w:hint="eastAsia"/>
          <w:bCs/>
          <w:szCs w:val="24"/>
          <w:lang w:eastAsia="ko-KR"/>
        </w:rPr>
        <w:t xml:space="preserve"> </w:t>
      </w:r>
      <w:r w:rsidR="006B4E66" w:rsidRPr="00587212">
        <w:rPr>
          <w:rFonts w:ascii="Times New Roman" w:hAnsi="Times New Roman"/>
          <w:bCs/>
          <w:szCs w:val="24"/>
        </w:rPr>
        <w:t xml:space="preserve"> </w:t>
      </w:r>
      <w:proofErr w:type="spellStart"/>
      <w:r w:rsidR="006B4E66" w:rsidRPr="00587212">
        <w:rPr>
          <w:rFonts w:ascii="Times New Roman" w:hAnsi="Times New Roman"/>
          <w:bCs/>
          <w:szCs w:val="24"/>
        </w:rPr>
        <w:t>Giehl</w:t>
      </w:r>
      <w:proofErr w:type="spellEnd"/>
      <w:r w:rsidR="006B4E66" w:rsidRPr="00587212">
        <w:rPr>
          <w:rFonts w:ascii="Times New Roman" w:hAnsi="Times New Roman"/>
          <w:bCs/>
          <w:szCs w:val="24"/>
        </w:rPr>
        <w:t xml:space="preserve"> et al. (2016), high neighborhood (based on zip-code) population density, good neighborhood </w:t>
      </w:r>
      <w:proofErr w:type="gramStart"/>
      <w:r w:rsidR="006B4E66" w:rsidRPr="00587212">
        <w:rPr>
          <w:rFonts w:ascii="Times New Roman" w:hAnsi="Times New Roman"/>
          <w:bCs/>
          <w:szCs w:val="24"/>
        </w:rPr>
        <w:t>walk</w:t>
      </w:r>
      <w:proofErr w:type="gramEnd"/>
      <w:r w:rsidR="006B4E66" w:rsidRPr="00587212">
        <w:rPr>
          <w:rFonts w:ascii="Times New Roman" w:hAnsi="Times New Roman"/>
          <w:bCs/>
          <w:szCs w:val="24"/>
        </w:rPr>
        <w:t xml:space="preserve"> and</w:t>
      </w:r>
      <w:r w:rsidR="006B4E66" w:rsidRPr="00613B7F">
        <w:rPr>
          <w:rFonts w:ascii="Times New Roman" w:hAnsi="Times New Roman"/>
          <w:bCs/>
          <w:szCs w:val="24"/>
        </w:rPr>
        <w:t xml:space="preserve"> bicycle infrastructure, and proximity to the nearest bus stop also turned out to be positive determinants of walk frequency</w:t>
      </w:r>
      <w:r w:rsidR="006F2489">
        <w:rPr>
          <w:rFonts w:ascii="Times New Roman" w:hAnsi="Times New Roman"/>
          <w:bCs/>
          <w:szCs w:val="24"/>
        </w:rPr>
        <w:t>.</w:t>
      </w:r>
      <w:r w:rsidR="006F2489" w:rsidRPr="00613B7F">
        <w:rPr>
          <w:rFonts w:ascii="Times New Roman" w:hAnsi="Times New Roman"/>
          <w:bCs/>
          <w:szCs w:val="24"/>
        </w:rPr>
        <w:t xml:space="preserve"> </w:t>
      </w:r>
      <w:r w:rsidR="00156C80" w:rsidRPr="00613B7F">
        <w:rPr>
          <w:rFonts w:ascii="Times New Roman" w:hAnsi="Times New Roman"/>
          <w:bCs/>
          <w:szCs w:val="24"/>
        </w:rPr>
        <w:t xml:space="preserve">Additionally, </w:t>
      </w:r>
      <w:r w:rsidR="00847C71">
        <w:rPr>
          <w:rFonts w:ascii="Times New Roman" w:hAnsi="Times New Roman"/>
          <w:bCs/>
          <w:szCs w:val="24"/>
        </w:rPr>
        <w:t>Hwang et al.</w:t>
      </w:r>
      <w:r w:rsidR="00156C80" w:rsidRPr="00613B7F">
        <w:rPr>
          <w:rFonts w:ascii="Times New Roman" w:hAnsi="Times New Roman"/>
          <w:bCs/>
          <w:szCs w:val="24"/>
        </w:rPr>
        <w:t xml:space="preserve"> </w:t>
      </w:r>
      <w:r w:rsidRPr="00613B7F">
        <w:rPr>
          <w:rFonts w:ascii="Times New Roman" w:hAnsi="Times New Roman"/>
          <w:bCs/>
          <w:szCs w:val="24"/>
        </w:rPr>
        <w:t>explor</w:t>
      </w:r>
      <w:r w:rsidR="00156C80" w:rsidRPr="00613B7F">
        <w:rPr>
          <w:rFonts w:ascii="Times New Roman" w:hAnsi="Times New Roman"/>
          <w:bCs/>
          <w:szCs w:val="24"/>
        </w:rPr>
        <w:t>e</w:t>
      </w:r>
      <w:r w:rsidR="005A4C43" w:rsidRPr="00613B7F">
        <w:rPr>
          <w:rFonts w:ascii="Times New Roman" w:hAnsi="Times New Roman"/>
          <w:bCs/>
          <w:szCs w:val="24"/>
        </w:rPr>
        <w:t>d</w:t>
      </w:r>
      <w:r w:rsidRPr="00613B7F">
        <w:rPr>
          <w:rFonts w:ascii="Times New Roman" w:hAnsi="Times New Roman"/>
          <w:bCs/>
          <w:szCs w:val="24"/>
        </w:rPr>
        <w:t xml:space="preserve"> reasons affecting the decisions to walk </w:t>
      </w:r>
      <w:r w:rsidR="00697C9E" w:rsidRPr="00613B7F">
        <w:rPr>
          <w:rFonts w:ascii="Times New Roman" w:hAnsi="Times New Roman"/>
          <w:bCs/>
          <w:szCs w:val="24"/>
        </w:rPr>
        <w:t xml:space="preserve">and </w:t>
      </w:r>
      <w:r w:rsidR="005A4C43" w:rsidRPr="00613B7F">
        <w:rPr>
          <w:rFonts w:ascii="Times New Roman" w:hAnsi="Times New Roman"/>
          <w:bCs/>
          <w:szCs w:val="24"/>
        </w:rPr>
        <w:t xml:space="preserve">found </w:t>
      </w:r>
      <w:r w:rsidR="00847C71">
        <w:rPr>
          <w:rFonts w:ascii="Times New Roman" w:hAnsi="Times New Roman"/>
          <w:bCs/>
          <w:szCs w:val="24"/>
        </w:rPr>
        <w:t xml:space="preserve">walking to be </w:t>
      </w:r>
      <w:r w:rsidR="005A4C43" w:rsidRPr="00613B7F">
        <w:rPr>
          <w:rFonts w:ascii="Times New Roman" w:hAnsi="Times New Roman"/>
          <w:bCs/>
          <w:szCs w:val="24"/>
        </w:rPr>
        <w:t xml:space="preserve">more </w:t>
      </w:r>
      <w:r w:rsidR="00BB2FEE" w:rsidRPr="00613B7F">
        <w:rPr>
          <w:rFonts w:ascii="Times New Roman" w:hAnsi="Times New Roman"/>
          <w:bCs/>
          <w:szCs w:val="24"/>
        </w:rPr>
        <w:t>motivated</w:t>
      </w:r>
      <w:r w:rsidR="000266E0" w:rsidRPr="00613B7F">
        <w:rPr>
          <w:rFonts w:ascii="Times New Roman" w:hAnsi="Times New Roman"/>
          <w:bCs/>
          <w:szCs w:val="24"/>
        </w:rPr>
        <w:t xml:space="preserve"> </w:t>
      </w:r>
      <w:r w:rsidR="00BB2FEE" w:rsidRPr="00613B7F">
        <w:rPr>
          <w:rFonts w:ascii="Times New Roman" w:hAnsi="Times New Roman"/>
          <w:bCs/>
          <w:szCs w:val="24"/>
        </w:rPr>
        <w:t xml:space="preserve">by </w:t>
      </w:r>
      <w:r w:rsidR="00847C71">
        <w:rPr>
          <w:rFonts w:ascii="Times New Roman" w:hAnsi="Times New Roman"/>
          <w:bCs/>
          <w:szCs w:val="24"/>
        </w:rPr>
        <w:t>recreation desires than utilitarian pursuits</w:t>
      </w:r>
      <w:r w:rsidR="001F36DB" w:rsidRPr="00613B7F">
        <w:rPr>
          <w:rFonts w:ascii="Times New Roman" w:hAnsi="Times New Roman"/>
          <w:bCs/>
          <w:szCs w:val="24"/>
        </w:rPr>
        <w:t>.</w:t>
      </w:r>
      <w:r w:rsidRPr="00613B7F">
        <w:rPr>
          <w:rFonts w:ascii="Times New Roman" w:hAnsi="Times New Roman"/>
          <w:bCs/>
          <w:szCs w:val="24"/>
        </w:rPr>
        <w:t xml:space="preserve"> Yo</w:t>
      </w:r>
      <w:r w:rsidR="004F19C4">
        <w:rPr>
          <w:rFonts w:ascii="Times New Roman" w:hAnsi="Times New Roman"/>
          <w:bCs/>
          <w:szCs w:val="24"/>
        </w:rPr>
        <w:t>u</w:t>
      </w:r>
      <w:r w:rsidRPr="00613B7F">
        <w:rPr>
          <w:rFonts w:ascii="Times New Roman" w:hAnsi="Times New Roman"/>
          <w:bCs/>
          <w:szCs w:val="24"/>
        </w:rPr>
        <w:t xml:space="preserve">nes et al. (2023) </w:t>
      </w:r>
      <w:r w:rsidR="009D33FC" w:rsidRPr="00613B7F">
        <w:rPr>
          <w:rFonts w:ascii="Times New Roman" w:hAnsi="Times New Roman"/>
          <w:bCs/>
          <w:szCs w:val="24"/>
        </w:rPr>
        <w:t xml:space="preserve">used both reported walk frequency during the pandemic (based on surveys conducted in the winters of 2020-2021 and 2021-2022), as well as walk frequency intent in the longer term future. </w:t>
      </w:r>
      <w:r w:rsidR="005A4C43" w:rsidRPr="00613B7F">
        <w:rPr>
          <w:rFonts w:ascii="Times New Roman" w:hAnsi="Times New Roman"/>
          <w:bCs/>
          <w:szCs w:val="24"/>
        </w:rPr>
        <w:t>They</w:t>
      </w:r>
      <w:r w:rsidR="00B610FC" w:rsidRPr="00613B7F">
        <w:rPr>
          <w:rFonts w:ascii="Times New Roman" w:hAnsi="Times New Roman"/>
          <w:bCs/>
          <w:szCs w:val="24"/>
        </w:rPr>
        <w:t xml:space="preserve"> found that</w:t>
      </w:r>
      <w:r w:rsidR="000B6BA2" w:rsidRPr="00613B7F">
        <w:rPr>
          <w:rFonts w:ascii="Times New Roman" w:hAnsi="Times New Roman"/>
          <w:bCs/>
          <w:szCs w:val="24"/>
        </w:rPr>
        <w:t xml:space="preserve"> individuals aged over 50 years </w:t>
      </w:r>
      <w:r w:rsidR="005A4C43" w:rsidRPr="00613B7F">
        <w:rPr>
          <w:rFonts w:ascii="Times New Roman" w:hAnsi="Times New Roman"/>
          <w:bCs/>
          <w:szCs w:val="24"/>
        </w:rPr>
        <w:t>were</w:t>
      </w:r>
      <w:r w:rsidR="000B6BA2" w:rsidRPr="00613B7F">
        <w:rPr>
          <w:rFonts w:ascii="Times New Roman" w:hAnsi="Times New Roman"/>
          <w:bCs/>
          <w:szCs w:val="24"/>
        </w:rPr>
        <w:t xml:space="preserve"> less likely to increase walking during the pandemic</w:t>
      </w:r>
      <w:r w:rsidR="005A4C43" w:rsidRPr="00613B7F">
        <w:rPr>
          <w:rFonts w:ascii="Times New Roman" w:hAnsi="Times New Roman"/>
          <w:bCs/>
          <w:szCs w:val="24"/>
        </w:rPr>
        <w:t>.</w:t>
      </w:r>
      <w:r w:rsidR="005A4C43" w:rsidRPr="007E6F50">
        <w:rPr>
          <w:rFonts w:ascii="Times New Roman" w:hAnsi="Times New Roman"/>
          <w:szCs w:val="24"/>
        </w:rPr>
        <w:t xml:space="preserve"> </w:t>
      </w:r>
      <w:r w:rsidR="005A4C43" w:rsidRPr="009E07AD">
        <w:rPr>
          <w:rFonts w:ascii="Times New Roman" w:hAnsi="Times New Roman"/>
          <w:bCs/>
          <w:szCs w:val="24"/>
        </w:rPr>
        <w:t>However, when considering the desire to walk more after the pandemic</w:t>
      </w:r>
      <w:r w:rsidR="009D33FC" w:rsidRPr="00141DA5">
        <w:rPr>
          <w:rFonts w:ascii="Times New Roman" w:hAnsi="Times New Roman"/>
          <w:bCs/>
          <w:szCs w:val="24"/>
        </w:rPr>
        <w:t xml:space="preserve"> in the longer term future</w:t>
      </w:r>
      <w:r w:rsidR="005A4C43" w:rsidRPr="00141DA5">
        <w:rPr>
          <w:rFonts w:ascii="Times New Roman" w:hAnsi="Times New Roman"/>
          <w:bCs/>
          <w:szCs w:val="24"/>
        </w:rPr>
        <w:t xml:space="preserve">, there was </w:t>
      </w:r>
      <w:r w:rsidR="005A4C43" w:rsidRPr="00141DA5">
        <w:rPr>
          <w:rFonts w:ascii="Times New Roman" w:hAnsi="Times New Roman"/>
          <w:bCs/>
          <w:szCs w:val="24"/>
        </w:rPr>
        <w:lastRenderedPageBreak/>
        <w:t>no significant difference among age groups, suggesting that older adults may be more inclined to</w:t>
      </w:r>
      <w:r w:rsidR="005A4C43" w:rsidRPr="005C237C">
        <w:rPr>
          <w:rFonts w:ascii="Times New Roman" w:hAnsi="Times New Roman"/>
          <w:bCs/>
          <w:szCs w:val="24"/>
        </w:rPr>
        <w:t xml:space="preserve"> resume or increase their walking habits once</w:t>
      </w:r>
      <w:r w:rsidR="009D33FC" w:rsidRPr="002427BC">
        <w:rPr>
          <w:rFonts w:ascii="Times New Roman" w:hAnsi="Times New Roman"/>
          <w:bCs/>
          <w:szCs w:val="24"/>
        </w:rPr>
        <w:t xml:space="preserve"> </w:t>
      </w:r>
      <w:r w:rsidR="005A4C43" w:rsidRPr="00613B7F">
        <w:rPr>
          <w:rFonts w:ascii="Times New Roman" w:hAnsi="Times New Roman"/>
          <w:bCs/>
          <w:szCs w:val="24"/>
        </w:rPr>
        <w:t>pandemic-relate</w:t>
      </w:r>
      <w:r w:rsidR="009D33FC" w:rsidRPr="00613B7F">
        <w:rPr>
          <w:rFonts w:ascii="Times New Roman" w:hAnsi="Times New Roman"/>
          <w:bCs/>
          <w:szCs w:val="24"/>
        </w:rPr>
        <w:t>d health concerns lessen</w:t>
      </w:r>
      <w:r w:rsidR="005A4C43" w:rsidRPr="00613B7F">
        <w:rPr>
          <w:rFonts w:ascii="Times New Roman" w:hAnsi="Times New Roman"/>
          <w:bCs/>
          <w:szCs w:val="24"/>
        </w:rPr>
        <w:t>.</w:t>
      </w:r>
      <w:r w:rsidR="007E3446" w:rsidRPr="00613B7F">
        <w:rPr>
          <w:rFonts w:ascii="Times New Roman" w:hAnsi="Times New Roman"/>
          <w:bCs/>
          <w:szCs w:val="24"/>
        </w:rPr>
        <w:t xml:space="preserve"> Work frequency from home </w:t>
      </w:r>
      <w:r w:rsidR="009D33FC" w:rsidRPr="00613B7F">
        <w:rPr>
          <w:rFonts w:ascii="Times New Roman" w:hAnsi="Times New Roman"/>
          <w:bCs/>
          <w:szCs w:val="24"/>
        </w:rPr>
        <w:t xml:space="preserve">(the main exogenous variable of interest) </w:t>
      </w:r>
      <w:r w:rsidR="007E3446" w:rsidRPr="00613B7F">
        <w:rPr>
          <w:rFonts w:ascii="Times New Roman" w:hAnsi="Times New Roman"/>
          <w:bCs/>
          <w:szCs w:val="24"/>
        </w:rPr>
        <w:t xml:space="preserve">and high incomes also had a positive effect on walking frequency in the immediate aftermath of the pandemic as well as </w:t>
      </w:r>
      <w:r w:rsidR="009D33FC" w:rsidRPr="00613B7F">
        <w:rPr>
          <w:rFonts w:ascii="Times New Roman" w:hAnsi="Times New Roman"/>
          <w:bCs/>
          <w:szCs w:val="24"/>
        </w:rPr>
        <w:t xml:space="preserve">in the context of </w:t>
      </w:r>
      <w:r w:rsidR="007E3446" w:rsidRPr="00613B7F">
        <w:rPr>
          <w:rFonts w:ascii="Times New Roman" w:hAnsi="Times New Roman"/>
          <w:bCs/>
          <w:szCs w:val="24"/>
        </w:rPr>
        <w:t>future walk frequency intentions.</w:t>
      </w:r>
    </w:p>
    <w:p w14:paraId="37B58FFA" w14:textId="609B1691" w:rsidR="00A325EE" w:rsidRPr="00A50F32" w:rsidRDefault="007E3446" w:rsidP="003518AB">
      <w:pPr>
        <w:ind w:firstLine="720"/>
        <w:jc w:val="both"/>
        <w:rPr>
          <w:lang w:eastAsia="ko-KR"/>
        </w:rPr>
      </w:pPr>
      <w:r w:rsidRPr="00613B7F">
        <w:rPr>
          <w:rFonts w:ascii="Times New Roman" w:hAnsi="Times New Roman"/>
          <w:bCs/>
          <w:szCs w:val="24"/>
        </w:rPr>
        <w:t xml:space="preserve"> </w:t>
      </w:r>
    </w:p>
    <w:p w14:paraId="5755FF04" w14:textId="5F28B2BD" w:rsidR="005E296D" w:rsidRDefault="005E296D" w:rsidP="003518AB">
      <w:pPr>
        <w:pStyle w:val="Heading2"/>
        <w:spacing w:line="240" w:lineRule="auto"/>
        <w:ind w:hanging="540"/>
        <w:contextualSpacing w:val="0"/>
        <w:jc w:val="both"/>
        <w:rPr>
          <w:lang w:eastAsia="ko-KR"/>
        </w:rPr>
      </w:pPr>
      <w:r>
        <w:rPr>
          <w:lang w:eastAsia="ko-KR"/>
        </w:rPr>
        <w:t>Duration as Measure of Walking Habit</w:t>
      </w:r>
      <w:r w:rsidR="00BF4EDE">
        <w:rPr>
          <w:lang w:eastAsia="ko-KR"/>
        </w:rPr>
        <w:t>s</w:t>
      </w:r>
    </w:p>
    <w:p w14:paraId="3DC96466" w14:textId="0D1178C6" w:rsidR="004F19C4" w:rsidRPr="00587212" w:rsidRDefault="004F19C4" w:rsidP="003518AB">
      <w:pPr>
        <w:autoSpaceDE w:val="0"/>
        <w:autoSpaceDN w:val="0"/>
        <w:adjustRightInd w:val="0"/>
        <w:jc w:val="both"/>
        <w:rPr>
          <w:sz w:val="22"/>
          <w:szCs w:val="22"/>
          <w:bdr w:val="none" w:sz="0" w:space="0" w:color="auto" w:frame="1"/>
          <w:shd w:val="clear" w:color="auto" w:fill="FFFFFF"/>
        </w:rPr>
      </w:pPr>
      <w:r>
        <w:rPr>
          <w:rFonts w:ascii="Times New Roman" w:hAnsi="Times New Roman"/>
          <w:bCs/>
          <w:szCs w:val="24"/>
        </w:rPr>
        <w:t>T</w:t>
      </w:r>
      <w:r w:rsidR="005F6152" w:rsidRPr="0072019B">
        <w:rPr>
          <w:rFonts w:ascii="Times New Roman" w:hAnsi="Times New Roman"/>
          <w:bCs/>
          <w:szCs w:val="24"/>
        </w:rPr>
        <w:t xml:space="preserve">he </w:t>
      </w:r>
      <w:r w:rsidR="005F6152" w:rsidRPr="00587212">
        <w:rPr>
          <w:rFonts w:ascii="Times New Roman" w:hAnsi="Times New Roman"/>
          <w:bCs/>
          <w:szCs w:val="24"/>
        </w:rPr>
        <w:t>emphasis placed by the USH</w:t>
      </w:r>
      <w:r w:rsidR="007F24B9">
        <w:rPr>
          <w:rFonts w:ascii="Times New Roman" w:hAnsi="Times New Roman"/>
          <w:bCs/>
          <w:szCs w:val="24"/>
        </w:rPr>
        <w:t>H</w:t>
      </w:r>
      <w:r w:rsidRPr="00587212">
        <w:rPr>
          <w:rFonts w:ascii="Times New Roman" w:hAnsi="Times New Roman"/>
          <w:bCs/>
          <w:szCs w:val="24"/>
        </w:rPr>
        <w:t>S</w:t>
      </w:r>
      <w:r w:rsidR="005F6152" w:rsidRPr="00587212">
        <w:rPr>
          <w:rFonts w:ascii="Times New Roman" w:hAnsi="Times New Roman"/>
          <w:bCs/>
          <w:szCs w:val="24"/>
        </w:rPr>
        <w:t xml:space="preserve"> and other health organizations on total weekly physical activity duration</w:t>
      </w:r>
      <w:r w:rsidRPr="00587212">
        <w:rPr>
          <w:rFonts w:ascii="Times New Roman" w:hAnsi="Times New Roman"/>
          <w:bCs/>
          <w:szCs w:val="24"/>
        </w:rPr>
        <w:t xml:space="preserve"> has led to many studies </w:t>
      </w:r>
      <w:r w:rsidR="005F6152" w:rsidRPr="00587212">
        <w:rPr>
          <w:rFonts w:ascii="Times New Roman" w:hAnsi="Times New Roman"/>
          <w:bCs/>
          <w:szCs w:val="24"/>
        </w:rPr>
        <w:t xml:space="preserve">on weekly </w:t>
      </w:r>
      <w:r w:rsidRPr="00587212">
        <w:rPr>
          <w:rFonts w:ascii="Times New Roman" w:hAnsi="Times New Roman"/>
          <w:bCs/>
          <w:szCs w:val="24"/>
        </w:rPr>
        <w:t xml:space="preserve">walk </w:t>
      </w:r>
      <w:r w:rsidR="005F6152" w:rsidRPr="00587212">
        <w:rPr>
          <w:rFonts w:ascii="Times New Roman" w:hAnsi="Times New Roman"/>
          <w:bCs/>
          <w:szCs w:val="24"/>
        </w:rPr>
        <w:t>duration</w:t>
      </w:r>
      <w:r w:rsidRPr="00587212">
        <w:rPr>
          <w:rFonts w:ascii="Times New Roman" w:hAnsi="Times New Roman"/>
          <w:bCs/>
          <w:szCs w:val="24"/>
        </w:rPr>
        <w:t xml:space="preserve">. </w:t>
      </w:r>
      <w:bookmarkStart w:id="22" w:name="_Hlk169960587"/>
      <w:r w:rsidR="00F32872" w:rsidRPr="00587212">
        <w:rPr>
          <w:rFonts w:ascii="Times New Roman" w:hAnsi="Times New Roman"/>
          <w:bCs/>
          <w:szCs w:val="24"/>
        </w:rPr>
        <w:fldChar w:fldCharType="begin"/>
      </w:r>
      <w:r w:rsidR="00F32872" w:rsidRPr="00587212">
        <w:rPr>
          <w:rFonts w:ascii="Times New Roman" w:hAnsi="Times New Roman"/>
          <w:bCs/>
          <w:szCs w:val="24"/>
        </w:rPr>
        <w:instrText xml:space="preserve"> ADDIN ZOTERO_ITEM CSL_CITATION {"citationID":"yMuPfrQL","properties":{"formattedCitation":"(Nagel et al., 2008)","plainCitation":"(Nagel et al., 2008)","dontUpdate":true,"noteIndex":0},"citationItems":[{"id":919,"uris":["http://zotero.org/users/10132210/items/ARMZ93DP"],"itemData":{"id":919,"type":"article-journal","container-title":"American Journal of Epidemiology","DOI":"10.1093/aje/kwn158","ISSN":"0002-9262, 1476-6256","issue":"4","journalAbbreviation":"American Journal of Epidemiology","language":"en","page":"461-468","source":"DOI.org (Crossref)","title":"The Relation between Neighborhood Built Environment and Walking Activity among Older Adults","volume":"168","author":[{"family":"Nagel","given":"C. L."},{"family":"Carlson","given":"N. E."},{"family":"Bosworth","given":"M."},{"family":"Michael","given":"Y. L."}],"issued":{"date-parts":[["2008",6,30]]}}}],"schema":"https://github.com/citation-style-language/schema/raw/master/csl-citation.json"} </w:instrText>
      </w:r>
      <w:r w:rsidR="00F32872" w:rsidRPr="00587212">
        <w:rPr>
          <w:rFonts w:ascii="Times New Roman" w:hAnsi="Times New Roman"/>
          <w:bCs/>
          <w:szCs w:val="24"/>
        </w:rPr>
        <w:fldChar w:fldCharType="separate"/>
      </w:r>
      <w:r w:rsidR="00F32872" w:rsidRPr="00587212">
        <w:rPr>
          <w:rFonts w:ascii="Times New Roman" w:hAnsi="Times New Roman"/>
          <w:szCs w:val="24"/>
        </w:rPr>
        <w:t>Nagel et al. (2008)</w:t>
      </w:r>
      <w:r w:rsidR="00F32872" w:rsidRPr="00587212">
        <w:rPr>
          <w:rFonts w:ascii="Times New Roman" w:hAnsi="Times New Roman"/>
          <w:bCs/>
          <w:szCs w:val="24"/>
        </w:rPr>
        <w:fldChar w:fldCharType="end"/>
      </w:r>
      <w:bookmarkEnd w:id="22"/>
      <w:r w:rsidR="00D6795E" w:rsidRPr="00587212">
        <w:rPr>
          <w:rFonts w:ascii="Times New Roman" w:hAnsi="Times New Roman"/>
          <w:bCs/>
          <w:szCs w:val="24"/>
        </w:rPr>
        <w:t xml:space="preserve">, based on their study in Portland in the U.S., </w:t>
      </w:r>
      <w:r w:rsidR="00F32872" w:rsidRPr="00587212">
        <w:rPr>
          <w:rFonts w:ascii="Times New Roman" w:hAnsi="Times New Roman"/>
          <w:bCs/>
          <w:szCs w:val="24"/>
        </w:rPr>
        <w:t xml:space="preserve">found that certain environment factors, such as </w:t>
      </w:r>
      <w:r w:rsidR="00FF4CD9" w:rsidRPr="00587212">
        <w:rPr>
          <w:rFonts w:ascii="Times New Roman" w:hAnsi="Times New Roman"/>
          <w:bCs/>
          <w:szCs w:val="24"/>
        </w:rPr>
        <w:t>neighborhood poverty</w:t>
      </w:r>
      <w:r w:rsidR="00D6795E" w:rsidRPr="00587212">
        <w:rPr>
          <w:rFonts w:ascii="Times New Roman" w:hAnsi="Times New Roman"/>
          <w:bCs/>
          <w:szCs w:val="24"/>
        </w:rPr>
        <w:t>, high volume streets,</w:t>
      </w:r>
      <w:r w:rsidR="00FF4CD9" w:rsidRPr="00587212">
        <w:rPr>
          <w:rFonts w:ascii="Times New Roman" w:hAnsi="Times New Roman"/>
          <w:bCs/>
          <w:szCs w:val="24"/>
        </w:rPr>
        <w:t xml:space="preserve"> and </w:t>
      </w:r>
      <w:r w:rsidR="00D6795E" w:rsidRPr="00587212">
        <w:rPr>
          <w:rFonts w:ascii="Times New Roman" w:hAnsi="Times New Roman"/>
          <w:bCs/>
          <w:szCs w:val="24"/>
        </w:rPr>
        <w:t xml:space="preserve">good </w:t>
      </w:r>
      <w:r w:rsidR="00F32872" w:rsidRPr="00587212">
        <w:rPr>
          <w:rFonts w:ascii="Times New Roman" w:hAnsi="Times New Roman"/>
          <w:bCs/>
          <w:szCs w:val="24"/>
        </w:rPr>
        <w:t>land use mix</w:t>
      </w:r>
      <w:r w:rsidR="007E3446" w:rsidRPr="00587212">
        <w:rPr>
          <w:rFonts w:ascii="Times New Roman" w:hAnsi="Times New Roman"/>
          <w:bCs/>
          <w:szCs w:val="24"/>
        </w:rPr>
        <w:t xml:space="preserve"> (based on </w:t>
      </w:r>
      <w:r w:rsidR="00D6795E" w:rsidRPr="00587212">
        <w:rPr>
          <w:rFonts w:ascii="Times New Roman" w:hAnsi="Times New Roman"/>
          <w:bCs/>
          <w:szCs w:val="24"/>
        </w:rPr>
        <w:t>quarter</w:t>
      </w:r>
      <w:r w:rsidR="007E3446" w:rsidRPr="00587212">
        <w:rPr>
          <w:rFonts w:ascii="Times New Roman" w:hAnsi="Times New Roman"/>
          <w:bCs/>
          <w:szCs w:val="24"/>
        </w:rPr>
        <w:t xml:space="preserve">-mile </w:t>
      </w:r>
      <w:r w:rsidR="00D6795E" w:rsidRPr="00587212">
        <w:rPr>
          <w:rFonts w:ascii="Times New Roman" w:hAnsi="Times New Roman"/>
          <w:bCs/>
          <w:szCs w:val="24"/>
        </w:rPr>
        <w:t xml:space="preserve">and half-mile </w:t>
      </w:r>
      <w:r w:rsidR="007E3446" w:rsidRPr="00587212">
        <w:rPr>
          <w:rFonts w:ascii="Times New Roman" w:hAnsi="Times New Roman"/>
          <w:bCs/>
          <w:szCs w:val="24"/>
        </w:rPr>
        <w:t>buffer</w:t>
      </w:r>
      <w:r w:rsidR="00D6795E" w:rsidRPr="00587212">
        <w:rPr>
          <w:rFonts w:ascii="Times New Roman" w:hAnsi="Times New Roman"/>
          <w:bCs/>
          <w:szCs w:val="24"/>
        </w:rPr>
        <w:t>s</w:t>
      </w:r>
      <w:r w:rsidR="007E3446" w:rsidRPr="00587212">
        <w:rPr>
          <w:rFonts w:ascii="Times New Roman" w:hAnsi="Times New Roman"/>
          <w:bCs/>
          <w:szCs w:val="24"/>
        </w:rPr>
        <w:t xml:space="preserve"> around participants’ residences)</w:t>
      </w:r>
      <w:r w:rsidR="00F32872" w:rsidRPr="00587212">
        <w:rPr>
          <w:rFonts w:ascii="Times New Roman" w:hAnsi="Times New Roman"/>
          <w:bCs/>
          <w:szCs w:val="24"/>
        </w:rPr>
        <w:t xml:space="preserve">, significantly influenced </w:t>
      </w:r>
      <w:r w:rsidRPr="00587212">
        <w:rPr>
          <w:rFonts w:ascii="Times New Roman" w:hAnsi="Times New Roman"/>
          <w:bCs/>
          <w:szCs w:val="24"/>
        </w:rPr>
        <w:t xml:space="preserve">the </w:t>
      </w:r>
      <w:r w:rsidR="00F32872" w:rsidRPr="00587212">
        <w:rPr>
          <w:rFonts w:ascii="Times New Roman" w:hAnsi="Times New Roman"/>
          <w:bCs/>
          <w:szCs w:val="24"/>
        </w:rPr>
        <w:t>walking duration</w:t>
      </w:r>
      <w:r w:rsidRPr="00587212">
        <w:rPr>
          <w:rFonts w:ascii="Times New Roman" w:hAnsi="Times New Roman"/>
          <w:bCs/>
          <w:szCs w:val="24"/>
        </w:rPr>
        <w:t xml:space="preserve"> of</w:t>
      </w:r>
      <w:r>
        <w:rPr>
          <w:rFonts w:ascii="Times New Roman" w:hAnsi="Times New Roman"/>
          <w:bCs/>
          <w:szCs w:val="24"/>
        </w:rPr>
        <w:t xml:space="preserve"> older adults</w:t>
      </w:r>
      <w:r w:rsidR="00F32872" w:rsidRPr="001F57F8">
        <w:rPr>
          <w:rFonts w:ascii="Times New Roman" w:hAnsi="Times New Roman"/>
          <w:bCs/>
          <w:szCs w:val="24"/>
        </w:rPr>
        <w:t xml:space="preserve">, although Nagel et al. did not find a significant relationship between </w:t>
      </w:r>
      <w:r w:rsidR="00D6795E" w:rsidRPr="00613B7F">
        <w:rPr>
          <w:rFonts w:ascii="Times New Roman" w:hAnsi="Times New Roman"/>
          <w:bCs/>
          <w:szCs w:val="24"/>
        </w:rPr>
        <w:t xml:space="preserve">BE </w:t>
      </w:r>
      <w:r w:rsidR="007E3446" w:rsidRPr="00613B7F">
        <w:rPr>
          <w:rFonts w:ascii="Times New Roman" w:hAnsi="Times New Roman"/>
          <w:bCs/>
          <w:szCs w:val="24"/>
        </w:rPr>
        <w:t xml:space="preserve">factors </w:t>
      </w:r>
      <w:r w:rsidR="00F32872" w:rsidRPr="00613B7F">
        <w:rPr>
          <w:rFonts w:ascii="Times New Roman" w:hAnsi="Times New Roman"/>
          <w:bCs/>
          <w:szCs w:val="24"/>
        </w:rPr>
        <w:t>and the decision to engage in walking.</w:t>
      </w:r>
      <w:r w:rsidR="00BD5161" w:rsidRPr="00613B7F">
        <w:rPr>
          <w:rFonts w:ascii="Times New Roman" w:hAnsi="Times New Roman"/>
          <w:bCs/>
          <w:szCs w:val="24"/>
        </w:rPr>
        <w:t xml:space="preserve"> </w:t>
      </w:r>
      <w:r w:rsidR="00D6795E" w:rsidRPr="00613B7F">
        <w:rPr>
          <w:rFonts w:ascii="Times New Roman" w:hAnsi="Times New Roman"/>
          <w:bCs/>
          <w:szCs w:val="24"/>
        </w:rPr>
        <w:t>They proceed to conjecture that “</w:t>
      </w:r>
      <w:r w:rsidR="00D6795E" w:rsidRPr="00587212">
        <w:rPr>
          <w:rFonts w:ascii="Times New Roman" w:eastAsia="Malgun Gothic" w:hAnsi="Times New Roman"/>
          <w:szCs w:val="24"/>
        </w:rPr>
        <w:t>modifications to the built environment may</w:t>
      </w:r>
      <w:r w:rsidR="002C2F15" w:rsidRPr="00587212">
        <w:rPr>
          <w:rFonts w:ascii="Times New Roman" w:eastAsia="Malgun Gothic" w:hAnsi="Times New Roman"/>
          <w:szCs w:val="24"/>
        </w:rPr>
        <w:t xml:space="preserve"> </w:t>
      </w:r>
      <w:r w:rsidR="00D6795E" w:rsidRPr="00587212">
        <w:rPr>
          <w:rFonts w:ascii="Times New Roman" w:eastAsia="Malgun Gothic" w:hAnsi="Times New Roman"/>
          <w:szCs w:val="24"/>
        </w:rPr>
        <w:t>have little benefit in promoting walking behavior among sedentary older adults.” Older age, being white, and having a higher self-efficacy score also increased walking duration.</w:t>
      </w:r>
      <w:r w:rsidR="002949CC" w:rsidRPr="00587212">
        <w:rPr>
          <w:rFonts w:ascii="Times New Roman" w:eastAsia="Malgun Gothic" w:hAnsi="Times New Roman" w:hint="eastAsia"/>
          <w:szCs w:val="24"/>
          <w:lang w:eastAsia="ko-KR"/>
        </w:rPr>
        <w:t xml:space="preserve"> </w:t>
      </w:r>
      <w:r w:rsidR="002949CC" w:rsidRPr="00587212">
        <w:rPr>
          <w:rFonts w:ascii="Times New Roman" w:eastAsia="Malgun Gothic" w:hAnsi="Times New Roman"/>
          <w:szCs w:val="24"/>
          <w:lang w:eastAsia="ko-KR"/>
        </w:rPr>
        <w:fldChar w:fldCharType="begin"/>
      </w:r>
      <w:r w:rsidR="00714083" w:rsidRPr="00587212">
        <w:rPr>
          <w:rFonts w:ascii="Times New Roman" w:eastAsia="Malgun Gothic" w:hAnsi="Times New Roman"/>
          <w:szCs w:val="24"/>
          <w:lang w:eastAsia="ko-KR"/>
        </w:rPr>
        <w:instrText xml:space="preserve"> ADDIN ZOTERO_ITEM CSL_CITATION {"citationID":"DBPRxSe4","properties":{"formattedCitation":"(Cerin et al., 2013)","plainCitation":"(Cerin et al., 2013)","dontUpdate":true,"noteIndex":0},"citationItems":[{"id":1603,"uris":["http://zotero.org/users/10132210/items/JWFL7EC2"],"itemData":{"id":1603,"type":"article-journal","abstract":"Engagement in walking for recreation can contribute to healthy aging. Although there is growing evidence that the neighborhood environment can influence walking for recreation, the amount of such evidence in relation to older adults is scarce and limited to Western low-density urban locations. Asian urban environments are typified by distinctive environmental and cultural characteristics that may yield different patterns to those observed in Western countries. Therefore, the main aim of this study was to examine associations of perceived environmental attributes with overall and within-neighborhood walking for recreation in Chinese elders (65+ years) residing in Hong Kong, an ultradense Asian metropolis. A sample of 484 elders was recruited from 32 neighborhoods stratified by socio-economic status and walkability (dwelling and intersection densities). Validated questionnaires measuring perceived neighborhood environment and weekly minutes of overall and within-neighborhood walking for recreation were interviewer administered. Results showed that the level of recreational walking was twice to four times higher than that reported in Western adults and elders. While overall walking for recreation showed a general lack of associations with perceived environmental attributes, within-neighborhood recreational walking was positively related with proximity of recreational facilities, infrastructure for walking, indoor places for walking, and presence of bridge/overpasses connecting to services. Age and educational attainment moderated the associations with several perceived environmental attributes with older and less-educated participants showing stronger associations. Traditional cultural views on the benefits of physical activity and the high accessibility of facilities and pedestrian infrastructure of Hong Kong may explain the high levels of walking. Although specific neighborhood attributes, or their perception, may influence recreational walking within the neighborhood, the compactness and public transport affordability of ultradense metropolises such as Hong Kong may make it easy for elders to compensate for the lack of favorable neighborhood attributes by walking outside the neighborhood.","container-title":"Journal of Urban Health","DOI":"10.1007/s11524-012-9704-8","ISSN":"1099-3460, 1468-2869","issue":"1","journalAbbreviation":"J Urban Health","language":"en","license":"http://www.springer.com/tdm","page":"56-66","source":"DOI.org (Crossref)","title":"Walking for Recreation and Perceptions of the Neighborhood Environment in Older Chinese Urban Dwellers","volume":"90","author":[{"family":"Cerin","given":"Ester"},{"family":"Sit","given":"Cindy H. P."},{"family":"Barnett","given":"Anthony"},{"family":"Cheung","given":"Man-chin"},{"family":"Chan","given":"Wai-man"}],"issued":{"date-parts":[["2013",2]]}}}],"schema":"https://github.com/citation-style-language/schema/raw/master/csl-citation.json"} </w:instrText>
      </w:r>
      <w:r w:rsidR="002949CC" w:rsidRPr="00587212">
        <w:rPr>
          <w:rFonts w:ascii="Times New Roman" w:eastAsia="Malgun Gothic" w:hAnsi="Times New Roman"/>
          <w:szCs w:val="24"/>
          <w:lang w:eastAsia="ko-KR"/>
        </w:rPr>
        <w:fldChar w:fldCharType="separate"/>
      </w:r>
      <w:r w:rsidR="002949CC" w:rsidRPr="00587212">
        <w:rPr>
          <w:rFonts w:ascii="Times New Roman" w:hAnsi="Times New Roman"/>
        </w:rPr>
        <w:t xml:space="preserve">Cerin et al. </w:t>
      </w:r>
      <w:r w:rsidR="00E53CF3" w:rsidRPr="00587212">
        <w:rPr>
          <w:rFonts w:ascii="Times New Roman" w:eastAsiaTheme="minorEastAsia" w:hAnsi="Times New Roman"/>
          <w:lang w:eastAsia="ko-KR"/>
        </w:rPr>
        <w:t>(</w:t>
      </w:r>
      <w:r w:rsidR="002949CC" w:rsidRPr="00587212">
        <w:rPr>
          <w:rFonts w:ascii="Times New Roman" w:hAnsi="Times New Roman"/>
        </w:rPr>
        <w:t>2013)</w:t>
      </w:r>
      <w:r w:rsidR="002949CC" w:rsidRPr="00587212">
        <w:rPr>
          <w:rFonts w:ascii="Times New Roman" w:eastAsia="Malgun Gothic" w:hAnsi="Times New Roman"/>
          <w:szCs w:val="24"/>
          <w:lang w:eastAsia="ko-KR"/>
        </w:rPr>
        <w:fldChar w:fldCharType="end"/>
      </w:r>
      <w:r w:rsidR="007D27E2" w:rsidRPr="00587212">
        <w:rPr>
          <w:rFonts w:ascii="Times New Roman" w:eastAsia="Malgun Gothic" w:hAnsi="Times New Roman"/>
          <w:szCs w:val="24"/>
        </w:rPr>
        <w:t xml:space="preserve"> investigated the effect of perceived neighborhood BE factors (rather than objective BE measures) on weekly walk duration within the</w:t>
      </w:r>
      <w:r w:rsidRPr="00587212">
        <w:rPr>
          <w:rFonts w:ascii="Times New Roman" w:eastAsia="Malgun Gothic" w:hAnsi="Times New Roman"/>
          <w:szCs w:val="24"/>
        </w:rPr>
        <w:t>ir</w:t>
      </w:r>
      <w:r w:rsidR="007D27E2" w:rsidRPr="00587212">
        <w:rPr>
          <w:rFonts w:ascii="Times New Roman" w:eastAsia="Malgun Gothic" w:hAnsi="Times New Roman"/>
          <w:szCs w:val="24"/>
        </w:rPr>
        <w:t xml:space="preserve"> residential neighborhood</w:t>
      </w:r>
      <w:r w:rsidRPr="00587212">
        <w:rPr>
          <w:rFonts w:ascii="Times New Roman" w:eastAsia="Malgun Gothic" w:hAnsi="Times New Roman"/>
          <w:szCs w:val="24"/>
        </w:rPr>
        <w:t>s</w:t>
      </w:r>
      <w:r w:rsidR="007D27E2" w:rsidRPr="00587212">
        <w:rPr>
          <w:rFonts w:ascii="Times New Roman" w:eastAsia="Malgun Gothic" w:hAnsi="Times New Roman"/>
          <w:szCs w:val="24"/>
        </w:rPr>
        <w:t xml:space="preserve"> (defined as within 15 minutes of walk</w:t>
      </w:r>
      <w:r w:rsidR="008276AF" w:rsidRPr="00587212">
        <w:rPr>
          <w:rFonts w:ascii="Times New Roman" w:eastAsia="Malgun Gothic" w:hAnsi="Times New Roman"/>
          <w:szCs w:val="24"/>
        </w:rPr>
        <w:t>ing</w:t>
      </w:r>
      <w:r w:rsidR="007D27E2" w:rsidRPr="00587212">
        <w:rPr>
          <w:rFonts w:ascii="Times New Roman" w:eastAsia="Malgun Gothic" w:hAnsi="Times New Roman"/>
          <w:szCs w:val="24"/>
        </w:rPr>
        <w:t xml:space="preserve"> from the residence). They used data collected from older individuals residing in Hong Kong, and observed that, in general, recreational walking duration within the neighborhood had little association with perceived neighborhood BE factors (including perceptions of pedestrian infrastructure and proximity of recreational facilities</w:t>
      </w:r>
      <w:r w:rsidR="007D27E2" w:rsidRPr="00587212">
        <w:rPr>
          <w:sz w:val="22"/>
          <w:szCs w:val="22"/>
          <w:bdr w:val="none" w:sz="0" w:space="0" w:color="auto" w:frame="1"/>
          <w:shd w:val="clear" w:color="auto" w:fill="FFFFFF"/>
        </w:rPr>
        <w:t xml:space="preserve">). </w:t>
      </w:r>
      <w:bookmarkStart w:id="23" w:name="_Hlk169960643"/>
      <w:r w:rsidR="007D27E2" w:rsidRPr="00587212">
        <w:rPr>
          <w:rFonts w:ascii="Times New Roman" w:hAnsi="Times New Roman"/>
          <w:bCs/>
          <w:szCs w:val="24"/>
        </w:rPr>
        <w:fldChar w:fldCharType="begin"/>
      </w:r>
      <w:r w:rsidR="003B3F4D" w:rsidRPr="00587212">
        <w:rPr>
          <w:rFonts w:ascii="Times New Roman" w:hAnsi="Times New Roman"/>
          <w:bCs/>
          <w:szCs w:val="24"/>
        </w:rPr>
        <w:instrText xml:space="preserve"> ADDIN ZOTERO_ITEM CSL_CITATION {"citationID":"tLhp1IiB","properties":{"formattedCitation":"(Maisel, 2016)","plainCitation":"(Maisel, 2016)","dontUpdate":true,"noteIndex":0},"citationItems":[{"id":925,"uris":["http://zotero.org/users/10132210/items/QW9BN4DR"],"itemData":{"id":925,"type":"article-journal","abstract":"Built environment features can have varying impacts on user behavior depending on the perceptions of the opportunities and obstacles that the environments create. This study systematically evaluated the relationship between neighborhood perceptions and the specific types of self-reported walking behavior for 121 older adults who resided in urban, suburban, or rural neighborhoods. Perceptions of street connectivity, crime and traffic safety, and overall satisfaction were associated with specific types of walking behaviors, and the strength of the relationships differed by neighborhood type. Sociodemographic variables such as age and sex were associated with certain types and amounts of older adults’ walking behaviors both across and within each neighborhood type. The results of this study support the importance of perceived street connectivity regardless of neighborhood type and perceived crime safety in rural neighborhoods to impact the walking behavior among older adults.","container-title":"Journal of Aging and Physical Activity","DOI":"10.1123/japa.2014-0278","ISSN":"1063-8652, 1543-267X","issue":"2","language":"en","page":"247-255","source":"DOI.org (Crossref)","title":"Impact of Older Adults’ Neighborhood Perceptions on Walking Behavior","volume":"24","author":[{"family":"Maisel","given":"Jordana L."}],"issued":{"date-parts":[["2016",4]]}}}],"schema":"https://github.com/citation-style-language/schema/raw/master/csl-citation.json"} </w:instrText>
      </w:r>
      <w:r w:rsidR="007D27E2" w:rsidRPr="00587212">
        <w:rPr>
          <w:rFonts w:ascii="Times New Roman" w:hAnsi="Times New Roman"/>
          <w:bCs/>
          <w:szCs w:val="24"/>
        </w:rPr>
        <w:fldChar w:fldCharType="separate"/>
      </w:r>
      <w:r w:rsidR="00DC4FAA" w:rsidRPr="00587212">
        <w:rPr>
          <w:rFonts w:ascii="Times New Roman" w:hAnsi="Times New Roman"/>
        </w:rPr>
        <w:t xml:space="preserve">Maisel </w:t>
      </w:r>
      <w:r w:rsidR="00DC4FAA" w:rsidRPr="00587212">
        <w:rPr>
          <w:rFonts w:ascii="Times New Roman" w:eastAsiaTheme="minorEastAsia" w:hAnsi="Times New Roman"/>
          <w:lang w:eastAsia="ko-KR"/>
        </w:rPr>
        <w:t>(</w:t>
      </w:r>
      <w:r w:rsidR="00DC4FAA" w:rsidRPr="00587212">
        <w:rPr>
          <w:rFonts w:ascii="Times New Roman" w:hAnsi="Times New Roman"/>
        </w:rPr>
        <w:t>2016)</w:t>
      </w:r>
      <w:r w:rsidR="007D27E2" w:rsidRPr="00587212">
        <w:rPr>
          <w:rFonts w:ascii="Times New Roman" w:hAnsi="Times New Roman"/>
          <w:bCs/>
          <w:szCs w:val="24"/>
        </w:rPr>
        <w:fldChar w:fldCharType="end"/>
      </w:r>
      <w:bookmarkEnd w:id="23"/>
      <w:r w:rsidR="007D27E2" w:rsidRPr="00587212">
        <w:rPr>
          <w:rFonts w:ascii="Times New Roman" w:hAnsi="Times New Roman"/>
          <w:bCs/>
          <w:szCs w:val="24"/>
        </w:rPr>
        <w:t xml:space="preserve"> also focused on neighborhood BE perception (rather than objective BE measure) effects, but</w:t>
      </w:r>
      <w:r w:rsidRPr="00587212">
        <w:rPr>
          <w:rFonts w:ascii="Times New Roman" w:hAnsi="Times New Roman"/>
          <w:bCs/>
          <w:szCs w:val="24"/>
        </w:rPr>
        <w:t xml:space="preserve"> </w:t>
      </w:r>
      <w:r w:rsidR="007D27E2" w:rsidRPr="00587212">
        <w:rPr>
          <w:rFonts w:ascii="Times New Roman" w:hAnsi="Times New Roman"/>
          <w:bCs/>
          <w:szCs w:val="24"/>
        </w:rPr>
        <w:t>controll</w:t>
      </w:r>
      <w:r w:rsidR="008276AF" w:rsidRPr="00587212">
        <w:rPr>
          <w:rFonts w:ascii="Times New Roman" w:hAnsi="Times New Roman"/>
          <w:bCs/>
          <w:szCs w:val="24"/>
        </w:rPr>
        <w:t>ed</w:t>
      </w:r>
      <w:r w:rsidR="007D27E2" w:rsidRPr="00587212">
        <w:rPr>
          <w:rFonts w:ascii="Times New Roman" w:hAnsi="Times New Roman"/>
          <w:bCs/>
          <w:szCs w:val="24"/>
        </w:rPr>
        <w:t xml:space="preserve"> for neighborhood type (classified based on population density into urban, suburban, or rural)</w:t>
      </w:r>
      <w:r w:rsidRPr="00587212">
        <w:rPr>
          <w:rFonts w:ascii="Times New Roman" w:hAnsi="Times New Roman"/>
          <w:bCs/>
          <w:szCs w:val="24"/>
        </w:rPr>
        <w:t xml:space="preserve">. They </w:t>
      </w:r>
      <w:r w:rsidR="007D27E2" w:rsidRPr="00587212">
        <w:rPr>
          <w:rFonts w:ascii="Times New Roman" w:hAnsi="Times New Roman"/>
          <w:bCs/>
          <w:szCs w:val="24"/>
        </w:rPr>
        <w:t xml:space="preserve">undertook the analysis using univariate Spearman’s rank correlations based on surveys of individuals living in senior centers in New York, </w:t>
      </w:r>
      <w:r w:rsidR="006F2489" w:rsidRPr="00587212">
        <w:rPr>
          <w:rFonts w:ascii="Times New Roman" w:hAnsi="Times New Roman"/>
          <w:bCs/>
          <w:szCs w:val="24"/>
        </w:rPr>
        <w:t xml:space="preserve">U.S. </w:t>
      </w:r>
      <w:r w:rsidR="007D27E2" w:rsidRPr="00587212">
        <w:rPr>
          <w:rFonts w:ascii="Times New Roman" w:eastAsia="Malgun Gothic" w:hAnsi="Times New Roman"/>
          <w:szCs w:val="24"/>
        </w:rPr>
        <w:t>Unlike the results from Cerin et al. (2013), Maisel observed that perceptions of low neighborhood crime, good walking/cycling infrastructure, and good traffic safety increased walking duration regardless of neighborhood type, with land-use mix particularly influencing walking duration in suburban neighborhoods and street connectivity particularly impacting walking duration in urban neighborhoods.</w:t>
      </w:r>
      <w:r w:rsidR="007D27E2" w:rsidRPr="00587212">
        <w:rPr>
          <w:sz w:val="22"/>
          <w:szCs w:val="22"/>
          <w:bdr w:val="none" w:sz="0" w:space="0" w:color="auto" w:frame="1"/>
          <w:shd w:val="clear" w:color="auto" w:fill="FFFFFF"/>
        </w:rPr>
        <w:t xml:space="preserve"> </w:t>
      </w:r>
    </w:p>
    <w:p w14:paraId="0E5E8B1E" w14:textId="676A9FB4" w:rsidR="0072019B" w:rsidRDefault="00B56988" w:rsidP="003518AB">
      <w:pPr>
        <w:autoSpaceDE w:val="0"/>
        <w:autoSpaceDN w:val="0"/>
        <w:adjustRightInd w:val="0"/>
        <w:ind w:firstLine="720"/>
        <w:jc w:val="both"/>
        <w:rPr>
          <w:rFonts w:ascii="Times New Roman" w:hAnsi="Times New Roman"/>
          <w:bCs/>
          <w:szCs w:val="24"/>
        </w:rPr>
      </w:pPr>
      <w:r w:rsidRPr="00587212">
        <w:rPr>
          <w:rFonts w:ascii="Times New Roman" w:hAnsi="Times New Roman"/>
          <w:bCs/>
          <w:szCs w:val="24"/>
        </w:rPr>
        <w:t>Thornton et al. (2017), based on a study in Seattle and Baltimore in the U.S</w:t>
      </w:r>
      <w:r w:rsidR="004F19C4" w:rsidRPr="00587212">
        <w:rPr>
          <w:rFonts w:ascii="Times New Roman" w:hAnsi="Times New Roman"/>
          <w:bCs/>
          <w:szCs w:val="24"/>
        </w:rPr>
        <w:t xml:space="preserve">., </w:t>
      </w:r>
      <w:r w:rsidRPr="00587212">
        <w:rPr>
          <w:rFonts w:ascii="Times New Roman" w:hAnsi="Times New Roman"/>
          <w:bCs/>
          <w:szCs w:val="24"/>
        </w:rPr>
        <w:t>employ</w:t>
      </w:r>
      <w:r w:rsidR="004F19C4" w:rsidRPr="00587212">
        <w:rPr>
          <w:rFonts w:ascii="Times New Roman" w:hAnsi="Times New Roman"/>
          <w:bCs/>
          <w:szCs w:val="24"/>
        </w:rPr>
        <w:t>ed</w:t>
      </w:r>
      <w:r w:rsidRPr="00587212">
        <w:rPr>
          <w:rFonts w:ascii="Times New Roman" w:hAnsi="Times New Roman"/>
          <w:bCs/>
          <w:szCs w:val="24"/>
        </w:rPr>
        <w:t xml:space="preserve"> one-mile buffer</w:t>
      </w:r>
      <w:r w:rsidR="004F19C4" w:rsidRPr="00587212">
        <w:rPr>
          <w:rFonts w:ascii="Times New Roman" w:hAnsi="Times New Roman"/>
          <w:bCs/>
          <w:szCs w:val="24"/>
        </w:rPr>
        <w:t>s</w:t>
      </w:r>
      <w:r w:rsidRPr="00587212">
        <w:rPr>
          <w:rFonts w:ascii="Times New Roman" w:hAnsi="Times New Roman"/>
          <w:bCs/>
          <w:szCs w:val="24"/>
        </w:rPr>
        <w:t xml:space="preserve"> around participants’ homes</w:t>
      </w:r>
      <w:r w:rsidR="004F19C4" w:rsidRPr="00587212">
        <w:rPr>
          <w:rFonts w:ascii="Times New Roman" w:hAnsi="Times New Roman"/>
          <w:bCs/>
          <w:szCs w:val="24"/>
        </w:rPr>
        <w:t xml:space="preserve"> to construct BE measures. They </w:t>
      </w:r>
      <w:r w:rsidRPr="00587212">
        <w:rPr>
          <w:rFonts w:ascii="Times New Roman" w:hAnsi="Times New Roman"/>
          <w:bCs/>
          <w:szCs w:val="24"/>
        </w:rPr>
        <w:t>id</w:t>
      </w:r>
      <w:r w:rsidRPr="009E07AD">
        <w:rPr>
          <w:rFonts w:ascii="Times New Roman" w:hAnsi="Times New Roman"/>
          <w:bCs/>
          <w:szCs w:val="24"/>
        </w:rPr>
        <w:t>entified high intersection density, good</w:t>
      </w:r>
      <w:r w:rsidR="004F19C4">
        <w:rPr>
          <w:rFonts w:ascii="Times New Roman" w:hAnsi="Times New Roman"/>
          <w:bCs/>
          <w:szCs w:val="24"/>
        </w:rPr>
        <w:t xml:space="preserve"> </w:t>
      </w:r>
      <w:r w:rsidRPr="009E07AD">
        <w:rPr>
          <w:rFonts w:ascii="Times New Roman" w:hAnsi="Times New Roman"/>
          <w:bCs/>
          <w:szCs w:val="24"/>
        </w:rPr>
        <w:t>land-use</w:t>
      </w:r>
      <w:r w:rsidR="004F19C4">
        <w:rPr>
          <w:rFonts w:ascii="Times New Roman" w:hAnsi="Times New Roman"/>
          <w:bCs/>
          <w:szCs w:val="24"/>
        </w:rPr>
        <w:t xml:space="preserve"> mixing</w:t>
      </w:r>
      <w:r w:rsidRPr="009E07AD">
        <w:rPr>
          <w:rFonts w:ascii="Times New Roman" w:hAnsi="Times New Roman"/>
          <w:bCs/>
          <w:szCs w:val="24"/>
        </w:rPr>
        <w:t xml:space="preserve">, and number of recreation centers </w:t>
      </w:r>
      <w:r w:rsidR="004F19C4">
        <w:rPr>
          <w:rFonts w:ascii="Times New Roman" w:hAnsi="Times New Roman"/>
          <w:bCs/>
          <w:szCs w:val="24"/>
        </w:rPr>
        <w:t xml:space="preserve">within the buffer </w:t>
      </w:r>
      <w:r w:rsidRPr="009E07AD">
        <w:rPr>
          <w:rFonts w:ascii="Times New Roman" w:hAnsi="Times New Roman"/>
          <w:bCs/>
          <w:szCs w:val="24"/>
        </w:rPr>
        <w:t xml:space="preserve">as </w:t>
      </w:r>
      <w:r w:rsidRPr="00141DA5">
        <w:rPr>
          <w:rFonts w:ascii="Times New Roman" w:hAnsi="Times New Roman"/>
          <w:bCs/>
          <w:szCs w:val="24"/>
        </w:rPr>
        <w:t>positive determinants of weekly utilitarian walking duration, but only mixed land-use as a negative determinant of weekly recreational walking duration. Perception of neighborhood walk</w:t>
      </w:r>
      <w:r w:rsidR="008276AF">
        <w:rPr>
          <w:rFonts w:ascii="Times New Roman" w:hAnsi="Times New Roman"/>
          <w:bCs/>
          <w:szCs w:val="24"/>
        </w:rPr>
        <w:t>ing</w:t>
      </w:r>
      <w:r w:rsidRPr="00141DA5">
        <w:rPr>
          <w:rFonts w:ascii="Times New Roman" w:hAnsi="Times New Roman"/>
          <w:bCs/>
          <w:szCs w:val="24"/>
        </w:rPr>
        <w:t>/cycling facilities, self-efficacy (</w:t>
      </w:r>
      <w:r w:rsidRPr="00587212">
        <w:rPr>
          <w:rFonts w:ascii="Times New Roman" w:hAnsi="Times New Roman"/>
          <w:bCs/>
          <w:szCs w:val="24"/>
        </w:rPr>
        <w:t xml:space="preserve">confidence to walk), positive social support (higher family companionship in walking and more family encouragement for walking), non-Hispanic white race, and not having a driving license were all also associated with an elevated utilitarian walk duration, while self-efficacy, positive social support, </w:t>
      </w:r>
      <w:r w:rsidR="00661771" w:rsidRPr="00587212">
        <w:rPr>
          <w:rFonts w:ascii="Times New Roman" w:hAnsi="Times New Roman"/>
          <w:bCs/>
          <w:szCs w:val="24"/>
        </w:rPr>
        <w:t xml:space="preserve">non-Hispanic white race/ethnicity, </w:t>
      </w:r>
      <w:r w:rsidRPr="00587212">
        <w:rPr>
          <w:rFonts w:ascii="Times New Roman" w:hAnsi="Times New Roman"/>
          <w:bCs/>
          <w:szCs w:val="24"/>
        </w:rPr>
        <w:t xml:space="preserve">and </w:t>
      </w:r>
      <w:r w:rsidR="00661771" w:rsidRPr="00587212">
        <w:rPr>
          <w:rFonts w:ascii="Times New Roman" w:hAnsi="Times New Roman"/>
          <w:bCs/>
          <w:szCs w:val="24"/>
        </w:rPr>
        <w:t xml:space="preserve">being on the younger side </w:t>
      </w:r>
      <w:r w:rsidRPr="00587212">
        <w:rPr>
          <w:rFonts w:ascii="Times New Roman" w:hAnsi="Times New Roman"/>
          <w:bCs/>
          <w:szCs w:val="24"/>
        </w:rPr>
        <w:t xml:space="preserve">were the psycho-social and demographic variables increasing recreational walking duration. </w:t>
      </w:r>
      <w:r w:rsidR="007D27E2" w:rsidRPr="00587212">
        <w:rPr>
          <w:rFonts w:ascii="Times New Roman" w:hAnsi="Times New Roman"/>
          <w:bCs/>
          <w:szCs w:val="24"/>
        </w:rPr>
        <w:fldChar w:fldCharType="begin"/>
      </w:r>
      <w:r w:rsidR="007D27E2" w:rsidRPr="00587212">
        <w:rPr>
          <w:rFonts w:ascii="Times New Roman" w:hAnsi="Times New Roman"/>
          <w:bCs/>
          <w:szCs w:val="24"/>
        </w:rPr>
        <w:instrText xml:space="preserve"> ADDIN ZOTERO_ITEM CSL_CITATION {"citationID":"knHWhYQ2","properties":{"formattedCitation":"(Zang et al., 2022)","plainCitation":"(Zang et al., 2022)","dontUpdate":true,"noteIndex":0},"citationItems":[{"id":1005,"uris":["http://zotero.org/users/10132210/items/JVEPHI5E"],"itemData":{"id":1005,"type":"article-journal","abstract":"Studies have proved that activity and ﬁtness behaviors are closely related to the quality of life and health status of the elderly. However, different intensities of physical activity (PA)—walking, moderate PA, and vigorous PA—have different correlations with the built environment (BE). This study combines the high and low socioeconomic status (SES) of Guangzhou to establish two types of BE models. The physical activity time of 600 elderly people was collected from questionnaires. Through ArcGIS software, 300 m, 500 m, 800 m, and 1000 m buffer zones were identiﬁed, and the land use diversity, street design, population density, distance to destination, distance to public transportation—the ﬁve Ds of the BE—were measured. SPSS software was adopted to analyze the correlation between the BE and PA. Results: The PA of people living in low-SES areas was more dependent on the BE, whereas the correlation may be limited in high SES areas. Moreover, in low SES areas, walking was negatively correlated with street connectivity; moderate PA was positively correlated with street connectivity and the shortest distance to the subway station, but negatively correlated with the density of entertainment points of interest (POIs). Studying the relevant factors of the environment can propose better strategies to improve the initiative of the elderly to engage in PA.","container-title":"International Journal of Environmental Research and Public Health","DOI":"10.3390/ijerph19031894","ISSN":"1660-4601","issue":"3","journalAbbreviation":"IJERPH","language":"en","page":"1894","source":"DOI.org (Crossref)","title":"Differences in the Correlation between the Built Environment and Walking, Moderate, and Vigorous Physical Activity among the Elderly in Low- and High-Income Areas","volume":"19","author":[{"family":"Zang","given":"Peng"},{"family":"Xian","given":"Fei"},{"family":"Qiu","given":"Hualong"},{"family":"Ma","given":"Shifa"},{"family":"Guo","given":"Hongxu"},{"family":"Wang","given":"Mengrui"},{"family":"Yang","given":"Linchuan"}],"issued":{"date-parts":[["2022",2,8]]}}}],"schema":"https://github.com/citation-style-language/schema/raw/master/csl-citation.json"} </w:instrText>
      </w:r>
      <w:r w:rsidR="007D27E2" w:rsidRPr="00587212">
        <w:rPr>
          <w:rFonts w:ascii="Times New Roman" w:hAnsi="Times New Roman"/>
          <w:bCs/>
          <w:szCs w:val="24"/>
        </w:rPr>
        <w:fldChar w:fldCharType="separate"/>
      </w:r>
      <w:r w:rsidR="007D27E2" w:rsidRPr="00587212">
        <w:rPr>
          <w:rFonts w:ascii="Times New Roman" w:hAnsi="Times New Roman"/>
          <w:szCs w:val="24"/>
        </w:rPr>
        <w:t>Zang et al. (2022)</w:t>
      </w:r>
      <w:r w:rsidR="007D27E2" w:rsidRPr="00587212">
        <w:rPr>
          <w:rFonts w:ascii="Times New Roman" w:hAnsi="Times New Roman"/>
          <w:bCs/>
          <w:szCs w:val="24"/>
        </w:rPr>
        <w:fldChar w:fldCharType="end"/>
      </w:r>
      <w:r w:rsidR="007D27E2" w:rsidRPr="00587212">
        <w:rPr>
          <w:rFonts w:ascii="Times New Roman" w:hAnsi="Times New Roman"/>
          <w:bCs/>
          <w:szCs w:val="24"/>
        </w:rPr>
        <w:t>, like Maisel (2016), also investigated whether BE effects varied by neighborhood type, though using objective BE measures based on buffers around participants’ residences and considering socioeconomic status (SES) to characterize neighborhood type. In their study of Chinese neighborhoods in Guangzhou, they observed that</w:t>
      </w:r>
      <w:r w:rsidR="007D27E2" w:rsidRPr="001E03BA">
        <w:rPr>
          <w:rFonts w:ascii="Times New Roman" w:hAnsi="Times New Roman"/>
          <w:bCs/>
          <w:szCs w:val="24"/>
        </w:rPr>
        <w:t xml:space="preserve"> street connectivity was negatively correlated with walking duration in areas with low socioeconomic status, while it ha</w:t>
      </w:r>
      <w:r w:rsidR="008276AF">
        <w:rPr>
          <w:rFonts w:ascii="Times New Roman" w:hAnsi="Times New Roman"/>
          <w:bCs/>
          <w:szCs w:val="24"/>
        </w:rPr>
        <w:t>d</w:t>
      </w:r>
      <w:r w:rsidR="007D27E2" w:rsidRPr="001E03BA">
        <w:rPr>
          <w:rFonts w:ascii="Times New Roman" w:hAnsi="Times New Roman"/>
          <w:bCs/>
          <w:szCs w:val="24"/>
        </w:rPr>
        <w:t xml:space="preserve"> no significant effect on walking duration in high-status neighborhoods.</w:t>
      </w:r>
    </w:p>
    <w:p w14:paraId="06590AF8" w14:textId="4536168C" w:rsidR="00A349A0" w:rsidRPr="00A349A0" w:rsidRDefault="005E296D" w:rsidP="003518AB">
      <w:pPr>
        <w:pStyle w:val="Heading2"/>
        <w:spacing w:line="240" w:lineRule="auto"/>
        <w:ind w:hanging="540"/>
        <w:contextualSpacing w:val="0"/>
        <w:jc w:val="both"/>
        <w:rPr>
          <w:lang w:eastAsia="ko-KR"/>
        </w:rPr>
      </w:pPr>
      <w:r>
        <w:rPr>
          <w:lang w:eastAsia="ko-KR"/>
        </w:rPr>
        <w:lastRenderedPageBreak/>
        <w:t xml:space="preserve">Companionship </w:t>
      </w:r>
      <w:r w:rsidR="00BF4EDE">
        <w:rPr>
          <w:lang w:eastAsia="ko-KR"/>
        </w:rPr>
        <w:t>as a</w:t>
      </w:r>
      <w:r w:rsidR="00FD0357">
        <w:rPr>
          <w:lang w:eastAsia="ko-KR"/>
        </w:rPr>
        <w:t>n Influencer</w:t>
      </w:r>
      <w:r w:rsidR="00BF4EDE">
        <w:rPr>
          <w:lang w:eastAsia="ko-KR"/>
        </w:rPr>
        <w:t xml:space="preserve"> of Walking Habits</w:t>
      </w:r>
    </w:p>
    <w:p w14:paraId="6929E195" w14:textId="76D7DD61" w:rsidR="008F73F9" w:rsidRPr="00587212" w:rsidRDefault="00596FC9" w:rsidP="003518AB">
      <w:pPr>
        <w:autoSpaceDE w:val="0"/>
        <w:autoSpaceDN w:val="0"/>
        <w:adjustRightInd w:val="0"/>
        <w:jc w:val="both"/>
        <w:rPr>
          <w:rFonts w:ascii="Times New Roman" w:eastAsia="Malgun Gothic" w:hAnsi="Times New Roman"/>
          <w:szCs w:val="24"/>
        </w:rPr>
      </w:pPr>
      <w:r w:rsidRPr="00141DA5">
        <w:rPr>
          <w:rFonts w:ascii="Times New Roman" w:eastAsiaTheme="minorEastAsia" w:hAnsi="Times New Roman"/>
          <w:bCs/>
          <w:szCs w:val="24"/>
          <w:lang w:eastAsia="ko-KR"/>
        </w:rPr>
        <w:t xml:space="preserve">Beyond walking frequency and duration, walking </w:t>
      </w:r>
      <w:r w:rsidRPr="00587212">
        <w:rPr>
          <w:rFonts w:ascii="Times New Roman" w:eastAsiaTheme="minorEastAsia" w:hAnsi="Times New Roman"/>
          <w:bCs/>
          <w:szCs w:val="24"/>
          <w:lang w:eastAsia="ko-KR"/>
        </w:rPr>
        <w:t xml:space="preserve">behavior </w:t>
      </w:r>
      <w:r w:rsidR="00A2419D" w:rsidRPr="00587212">
        <w:rPr>
          <w:rFonts w:ascii="Times New Roman" w:eastAsiaTheme="minorEastAsia" w:hAnsi="Times New Roman"/>
          <w:bCs/>
          <w:szCs w:val="24"/>
          <w:lang w:eastAsia="ko-KR"/>
        </w:rPr>
        <w:t xml:space="preserve">can </w:t>
      </w:r>
      <w:r w:rsidRPr="00587212">
        <w:rPr>
          <w:rFonts w:ascii="Times New Roman" w:eastAsiaTheme="minorEastAsia" w:hAnsi="Times New Roman"/>
          <w:bCs/>
          <w:szCs w:val="24"/>
          <w:lang w:eastAsia="ko-KR"/>
        </w:rPr>
        <w:t xml:space="preserve">also </w:t>
      </w:r>
      <w:r w:rsidR="00A2419D" w:rsidRPr="00587212">
        <w:rPr>
          <w:rFonts w:ascii="Times New Roman" w:eastAsiaTheme="minorEastAsia" w:hAnsi="Times New Roman"/>
          <w:bCs/>
          <w:szCs w:val="24"/>
          <w:lang w:eastAsia="ko-KR"/>
        </w:rPr>
        <w:t xml:space="preserve">be </w:t>
      </w:r>
      <w:r w:rsidRPr="00587212">
        <w:rPr>
          <w:rFonts w:ascii="Times New Roman" w:eastAsiaTheme="minorEastAsia" w:hAnsi="Times New Roman"/>
          <w:bCs/>
          <w:szCs w:val="24"/>
          <w:lang w:eastAsia="ko-KR"/>
        </w:rPr>
        <w:t xml:space="preserve">influenced by social </w:t>
      </w:r>
      <w:r w:rsidR="00A2419D" w:rsidRPr="00587212">
        <w:rPr>
          <w:rFonts w:ascii="Times New Roman" w:eastAsiaTheme="minorEastAsia" w:hAnsi="Times New Roman"/>
          <w:bCs/>
          <w:szCs w:val="24"/>
          <w:lang w:eastAsia="ko-KR"/>
        </w:rPr>
        <w:t>companionship</w:t>
      </w:r>
      <w:r w:rsidRPr="00587212">
        <w:rPr>
          <w:rFonts w:ascii="Times New Roman" w:eastAsiaTheme="minorEastAsia" w:hAnsi="Times New Roman"/>
          <w:bCs/>
          <w:szCs w:val="24"/>
          <w:lang w:eastAsia="ko-KR"/>
        </w:rPr>
        <w:t xml:space="preserve">. </w:t>
      </w:r>
      <w:r w:rsidR="00A2419D" w:rsidRPr="00587212">
        <w:rPr>
          <w:rFonts w:ascii="Times New Roman" w:eastAsiaTheme="minorEastAsia" w:hAnsi="Times New Roman"/>
          <w:bCs/>
          <w:szCs w:val="24"/>
          <w:lang w:eastAsia="ko-KR"/>
        </w:rPr>
        <w:t xml:space="preserve">In a study conducted in Ontario, Canada, </w:t>
      </w:r>
      <w:r w:rsidR="00A16F8A" w:rsidRPr="00587212">
        <w:rPr>
          <w:rFonts w:eastAsiaTheme="minorEastAsia"/>
          <w:lang w:eastAsia="ko-KR"/>
        </w:rPr>
        <w:fldChar w:fldCharType="begin"/>
      </w:r>
      <w:r w:rsidR="00A16F8A" w:rsidRPr="00587212">
        <w:rPr>
          <w:rFonts w:eastAsiaTheme="minorEastAsia"/>
          <w:lang w:eastAsia="ko-KR"/>
        </w:rPr>
        <w:instrText xml:space="preserve"> ADDIN ZOTERO_ITEM CSL_CITATION {"citationID":"m5dWUTQr","properties":{"formattedCitation":"(Clark &amp; Scott, 2016)","plainCitation":"(Clark &amp; Scott, 2016)","dontUpdate":true,"noteIndex":0},"citationItems":[{"id":1069,"uris":["http://zotero.org/users/10132210/items/PWX722IS"],"itemData":{"id":1069,"type":"article-journal","abstract":"This study investigates perceived barriers to walking using data collected from 179 randomly-selected adults between the ages of 18 and 92 in Hamilton, Ontario, Canada. A survey (Hamilton Active Living Study) asked questions about socio-demographics, walking, and barriers to walking. A series of binary logit models are estimated for twenty potential barriers to walking. The results demonstrate that different barriers are associated with different sub-groups of the population. Females, senior citizens, and those with a higher body mass index identify the most barriers to walking, while young adults, parents, driver’s license owners, and bus pass owners identify the fewest barriers. Understanding who is affected by perceived barriers can help policy makers and health promotion agencies target sub-groups of the population in an effort to increase walking.","container-title":"International Journal of Environmental Research and Public Health","DOI":"10.3390/ijerph13020179","ISSN":"1660-4601","issue":"2","journalAbbreviation":"IJERPH","language":"en","license":"https://creativecommons.org/licenses/by/4.0/","page":"179","source":"DOI.org (Crossref)","title":"Barriers to Walking: An Investigation of Adults in Hamilton (Ontario, Canada)","title-short":"Barriers to Walking","volume":"13","author":[{"family":"Clark","given":"Andrew"},{"family":"Scott","given":"Darren"}],"issued":{"date-parts":[["2016",1,30]]}}}],"schema":"https://github.com/citation-style-language/schema/raw/master/csl-citation.json"} </w:instrText>
      </w:r>
      <w:r w:rsidR="00A16F8A" w:rsidRPr="00587212">
        <w:rPr>
          <w:rFonts w:eastAsiaTheme="minorEastAsia"/>
          <w:lang w:eastAsia="ko-KR"/>
        </w:rPr>
        <w:fldChar w:fldCharType="separate"/>
      </w:r>
      <w:r w:rsidR="00A16F8A" w:rsidRPr="00587212">
        <w:rPr>
          <w:rFonts w:cs="Times"/>
        </w:rPr>
        <w:t xml:space="preserve">Clark </w:t>
      </w:r>
      <w:r w:rsidR="00A16F8A" w:rsidRPr="00587212">
        <w:rPr>
          <w:rFonts w:eastAsiaTheme="minorEastAsia" w:cs="Times"/>
          <w:lang w:eastAsia="ko-KR"/>
        </w:rPr>
        <w:t>and</w:t>
      </w:r>
      <w:r w:rsidR="00A16F8A" w:rsidRPr="00587212">
        <w:rPr>
          <w:rFonts w:cs="Times"/>
        </w:rPr>
        <w:t xml:space="preserve"> Scott </w:t>
      </w:r>
      <w:r w:rsidR="00A16F8A" w:rsidRPr="00587212">
        <w:rPr>
          <w:rFonts w:eastAsiaTheme="minorEastAsia" w:cs="Times"/>
          <w:lang w:eastAsia="ko-KR"/>
        </w:rPr>
        <w:t>(</w:t>
      </w:r>
      <w:r w:rsidR="00A16F8A" w:rsidRPr="00587212">
        <w:rPr>
          <w:rFonts w:cs="Times"/>
        </w:rPr>
        <w:t>2016)</w:t>
      </w:r>
      <w:r w:rsidR="00A16F8A" w:rsidRPr="00587212">
        <w:rPr>
          <w:rFonts w:eastAsiaTheme="minorEastAsia"/>
          <w:lang w:eastAsia="ko-KR"/>
        </w:rPr>
        <w:fldChar w:fldCharType="end"/>
      </w:r>
      <w:r w:rsidR="00A16F8A" w:rsidRPr="00587212">
        <w:rPr>
          <w:rFonts w:eastAsiaTheme="minorEastAsia"/>
          <w:lang w:eastAsia="ko-KR"/>
        </w:rPr>
        <w:t xml:space="preserve"> </w:t>
      </w:r>
      <w:r w:rsidR="008F76CE" w:rsidRPr="00587212">
        <w:rPr>
          <w:rFonts w:ascii="Times New Roman" w:eastAsiaTheme="minorEastAsia" w:hAnsi="Times New Roman"/>
          <w:bCs/>
          <w:szCs w:val="24"/>
          <w:lang w:eastAsia="ko-KR"/>
        </w:rPr>
        <w:t xml:space="preserve">examined the barriers to walking for a number of population subgroups, and found that “I have no one to walk with” is one of five important barriers for </w:t>
      </w:r>
      <w:r w:rsidR="006E415B" w:rsidRPr="00587212">
        <w:rPr>
          <w:rFonts w:ascii="Times New Roman" w:eastAsia="Malgun Gothic" w:hAnsi="Times New Roman"/>
          <w:szCs w:val="24"/>
        </w:rPr>
        <w:t>s</w:t>
      </w:r>
      <w:r w:rsidR="008F76CE" w:rsidRPr="00587212">
        <w:rPr>
          <w:rFonts w:ascii="Times New Roman" w:eastAsia="Malgun Gothic" w:hAnsi="Times New Roman"/>
          <w:szCs w:val="24"/>
        </w:rPr>
        <w:t>enior citizens (aged 65+ years) (the other barriers included a lack of motivation to walk, poor lighting, high traffic volumes, and dangerous crossings). The authors suggest that companionship offers both a sense of safety from traffic</w:t>
      </w:r>
      <w:r w:rsidR="004F19C4" w:rsidRPr="00587212">
        <w:rPr>
          <w:rFonts w:ascii="Times New Roman" w:eastAsia="Malgun Gothic" w:hAnsi="Times New Roman"/>
          <w:szCs w:val="24"/>
        </w:rPr>
        <w:t xml:space="preserve"> and</w:t>
      </w:r>
      <w:r w:rsidR="008F76CE" w:rsidRPr="00587212">
        <w:rPr>
          <w:rFonts w:ascii="Times New Roman" w:eastAsia="Malgun Gothic" w:hAnsi="Times New Roman"/>
          <w:szCs w:val="24"/>
        </w:rPr>
        <w:t xml:space="preserve"> crime, as well as </w:t>
      </w:r>
      <w:r w:rsidR="00766BF0" w:rsidRPr="00587212">
        <w:rPr>
          <w:rFonts w:ascii="Times New Roman" w:eastAsia="Malgun Gothic" w:hAnsi="Times New Roman"/>
          <w:szCs w:val="24"/>
        </w:rPr>
        <w:t xml:space="preserve">serves a social purpose. </w:t>
      </w:r>
      <w:r w:rsidRPr="00587212">
        <w:rPr>
          <w:rFonts w:ascii="Times New Roman" w:hAnsi="Times New Roman"/>
          <w:bCs/>
          <w:szCs w:val="24"/>
        </w:rPr>
        <w:fldChar w:fldCharType="begin"/>
      </w:r>
      <w:r w:rsidRPr="00587212">
        <w:rPr>
          <w:rFonts w:ascii="Times New Roman" w:hAnsi="Times New Roman"/>
          <w:bCs/>
          <w:szCs w:val="24"/>
        </w:rPr>
        <w:instrText xml:space="preserve"> ADDIN ZOTERO_ITEM CSL_CITATION {"citationID":"SnIqO8v7","properties":{"formattedCitation":"(Arroyo et al., 2020)","plainCitation":"(Arroyo et al., 2020)","dontUpdate":true,"noteIndex":0},"citationItems":[{"id":1057,"uris":["http://zotero.org/users/10132210/items/4839WU7U"],"itemData":{"id":1057,"type":"article-journal","abstract":"The design and implementation of transport policies to promote active transport requires a deep comprehension of the factors that inﬂuence travel behavior. In this context, psychological factors and social interactions play an important role in explaining travel-related decisions. Even though, the importance of psychosocial variables in travel behavior research has been widely recognized during recent years, there is a lack of understanding of how these factors interact. This paper aims to better understand the interrelationships between values, attitudes towards transport modes and a subset of the social network composed by habitual trips and activities companions. For this purpose, a theoretical framework is proposed which posits all the possible relationships among these factors. In order to test this conceptual framework, two Structural Equation Models are estimated considering attitudes towards active transport (bike and walking), using a dataset from a web-based survey developed for the MINERVA project in Valencia (Spain). The data is composed by 404 respondents who provided valid information regarding all the variables of the study. Results conﬁrm the hierarchical value-attitude-behavior structure while several effects are also found directly between values and attitudes. For instance, individuals who attach more importance to Stimulation and Achievement values are higher active transport user, while values traditionally associated with car use are no longer maintaining this relation. Besides that, positive attitudes towards walking and cycling are strongly associated with a higher use of active transport, and also seem to discourage the use of motorized modes. Several characteristics of companions affects personal values and active travel and less inﬂuence is found on attitudes. These ﬁndings are useful to develop transport policies and campaigns to promote sustainable transport, such as the design of strategies in the context of Travel Behavior Change Programs. Limitations of this research include several aspects related to online surveys, for instance, sample size and underrepresentation of individuals over 55 years.","container-title":"Transportation Research Part F: Traffic Psychology and Behaviour","DOI":"10.1016/j.trf.2020.04.002","ISSN":"13698478","journalAbbreviation":"Transportation Research Part F: Traffic Psychology and Behaviour","language":"en","page":"8-22","source":"DOI.org (Crossref)","title":"Influence of values, attitudes towards transport modes and companions on travel behavior","volume":"71","author":[{"family":"Arroyo","given":"Rosa"},{"family":"Ruiz","given":"Tomás"},{"family":"Mars","given":"Lidón"},{"family":"Rasouli","given":"Soora"},{"family":"Timmermans","given":"Harry"}],"issued":{"date-parts":[["2020",5]]}}}],"schema":"https://github.com/citation-style-language/schema/raw/master/csl-citation.json"} </w:instrText>
      </w:r>
      <w:r w:rsidRPr="00587212">
        <w:rPr>
          <w:rFonts w:ascii="Times New Roman" w:hAnsi="Times New Roman"/>
          <w:bCs/>
          <w:szCs w:val="24"/>
        </w:rPr>
        <w:fldChar w:fldCharType="separate"/>
      </w:r>
      <w:r w:rsidRPr="00587212">
        <w:rPr>
          <w:rFonts w:ascii="Times New Roman" w:hAnsi="Times New Roman"/>
          <w:szCs w:val="24"/>
        </w:rPr>
        <w:t xml:space="preserve">Arroyo et al. </w:t>
      </w:r>
      <w:r w:rsidRPr="00587212">
        <w:rPr>
          <w:rFonts w:ascii="Times New Roman" w:eastAsiaTheme="minorEastAsia" w:hAnsi="Times New Roman"/>
          <w:szCs w:val="24"/>
          <w:lang w:eastAsia="ko-KR"/>
        </w:rPr>
        <w:t>(</w:t>
      </w:r>
      <w:r w:rsidRPr="00587212">
        <w:rPr>
          <w:rFonts w:ascii="Times New Roman" w:hAnsi="Times New Roman"/>
          <w:szCs w:val="24"/>
        </w:rPr>
        <w:t>2020</w:t>
      </w:r>
      <w:r w:rsidRPr="00587212">
        <w:rPr>
          <w:rFonts w:ascii="Times New Roman" w:hAnsi="Times New Roman"/>
          <w:bCs/>
          <w:szCs w:val="24"/>
        </w:rPr>
        <w:fldChar w:fldCharType="end"/>
      </w:r>
      <w:r w:rsidRPr="00587212">
        <w:rPr>
          <w:rFonts w:ascii="Times New Roman" w:eastAsiaTheme="minorEastAsia" w:hAnsi="Times New Roman"/>
          <w:bCs/>
          <w:szCs w:val="24"/>
          <w:lang w:eastAsia="ko-KR"/>
        </w:rPr>
        <w:t>)</w:t>
      </w:r>
      <w:r w:rsidRPr="00587212">
        <w:rPr>
          <w:rFonts w:ascii="Times New Roman" w:hAnsi="Times New Roman"/>
          <w:bCs/>
          <w:szCs w:val="24"/>
        </w:rPr>
        <w:t xml:space="preserve"> </w:t>
      </w:r>
      <w:r w:rsidR="00766BF0" w:rsidRPr="00587212">
        <w:rPr>
          <w:rFonts w:ascii="Times New Roman" w:eastAsia="Malgun Gothic" w:hAnsi="Times New Roman"/>
          <w:szCs w:val="24"/>
        </w:rPr>
        <w:t>use</w:t>
      </w:r>
      <w:r w:rsidR="004F19C4" w:rsidRPr="00587212">
        <w:rPr>
          <w:rFonts w:ascii="Times New Roman" w:eastAsia="Malgun Gothic" w:hAnsi="Times New Roman"/>
          <w:szCs w:val="24"/>
        </w:rPr>
        <w:t>d</w:t>
      </w:r>
      <w:r w:rsidR="00766BF0" w:rsidRPr="00587212">
        <w:rPr>
          <w:rFonts w:ascii="Times New Roman" w:eastAsia="Malgun Gothic" w:hAnsi="Times New Roman"/>
          <w:szCs w:val="24"/>
        </w:rPr>
        <w:t xml:space="preserve"> a dataset from a web-based survey from Valencia, Spain, investigating the importance of companionship in active lifestyle (walking and cycling) behaviors. They found </w:t>
      </w:r>
      <w:r w:rsidR="00E609CE" w:rsidRPr="00587212">
        <w:rPr>
          <w:rFonts w:ascii="Times New Roman" w:eastAsia="Malgun Gothic" w:hAnsi="Times New Roman"/>
          <w:szCs w:val="24"/>
        </w:rPr>
        <w:t>more positive attitudes toward walking when a person ha</w:t>
      </w:r>
      <w:r w:rsidR="004F19C4" w:rsidRPr="00587212">
        <w:rPr>
          <w:rFonts w:ascii="Times New Roman" w:eastAsia="Malgun Gothic" w:hAnsi="Times New Roman"/>
          <w:szCs w:val="24"/>
        </w:rPr>
        <w:t>d</w:t>
      </w:r>
      <w:r w:rsidR="00E609CE" w:rsidRPr="00587212">
        <w:rPr>
          <w:rFonts w:ascii="Times New Roman" w:eastAsia="Malgun Gothic" w:hAnsi="Times New Roman"/>
          <w:szCs w:val="24"/>
        </w:rPr>
        <w:t xml:space="preserve"> a larger, geographically compact,  and deeper (more frequent communications) social network, suggesting again a relationship between companionship and walking behavior.</w:t>
      </w:r>
      <w:r w:rsidR="00E609CE" w:rsidRPr="00587212">
        <w:rPr>
          <w:rFonts w:ascii="Times New Roman" w:hAnsi="Times New Roman"/>
          <w:bCs/>
          <w:szCs w:val="24"/>
        </w:rPr>
        <w:t xml:space="preserve"> In contrast, </w:t>
      </w:r>
      <w:bookmarkStart w:id="24" w:name="_Hlk169960991"/>
      <w:r w:rsidR="00E609CE" w:rsidRPr="00587212">
        <w:rPr>
          <w:rFonts w:ascii="Times New Roman" w:hAnsi="Times New Roman"/>
          <w:bCs/>
          <w:szCs w:val="24"/>
        </w:rPr>
        <w:fldChar w:fldCharType="begin"/>
      </w:r>
      <w:r w:rsidR="00E609CE" w:rsidRPr="00587212">
        <w:rPr>
          <w:rFonts w:ascii="Times New Roman" w:hAnsi="Times New Roman"/>
          <w:bCs/>
          <w:szCs w:val="24"/>
        </w:rPr>
        <w:instrText xml:space="preserve"> ADDIN ZOTERO_ITEM CSL_CITATION {"citationID":"7bw4PIr2","properties":{"formattedCitation":"(Leung et al., 2018)","plainCitation":"(Leung et al., 2018)","dontUpdate":true,"noteIndex":0},"citationItems":[{"id":952,"uris":["http://zotero.org/users/10132210/items/RYUPRNEU"],"itemData":{"id":952,"type":"article-journal","abstract":"Introduction: This study examined the associations between physical environment (facilitators and barriers), social environment, and walking among older adults in Hong Kong. Methods: Between April and December 2016, a sample of 679 adults aged 65 years or above was recruited in Neighbourhood Elderly Centres from across the 18 council districts of Hong Kong. Participants were asked to complete validated questionnaires that were used to assess the above constructs; participants were asked to track their daily step counts over 7 days using an accelerometer. Structural Equation Modelling was performed to examine the studied relationships by using maximum likelihood estimation in LISREL 9.3.","container-title":"Journal of Transport &amp; Health","DOI":"10.1016/j.jth.2018.03.002","ISSN":"22141405","journalAbbreviation":"Journal of Transport &amp; Health","language":"en","page":"299-308","source":"DOI.org (Crossref)","title":"Impact of physical and social environments on the walking behaviour of Hong Kong's older adults","volume":"9","author":[{"family":"Leung","given":"Ka Man"},{"family":"Chung","given":"Pak-Kwong"},{"family":"Wang","given":"Donggen"},{"family":"Liu","given":"Jing Dong"}],"issued":{"date-parts":[["2018",6]]}}}],"schema":"https://github.com/citation-style-language/schema/raw/master/csl-citation.json"} </w:instrText>
      </w:r>
      <w:r w:rsidR="00E609CE" w:rsidRPr="00587212">
        <w:rPr>
          <w:rFonts w:ascii="Times New Roman" w:hAnsi="Times New Roman"/>
          <w:bCs/>
          <w:szCs w:val="24"/>
        </w:rPr>
        <w:fldChar w:fldCharType="separate"/>
      </w:r>
      <w:r w:rsidR="00E609CE" w:rsidRPr="00587212">
        <w:rPr>
          <w:rFonts w:ascii="Times New Roman" w:hAnsi="Times New Roman"/>
          <w:szCs w:val="24"/>
        </w:rPr>
        <w:t>Leung et al. (2018)</w:t>
      </w:r>
      <w:r w:rsidR="00E609CE" w:rsidRPr="00587212">
        <w:rPr>
          <w:rFonts w:ascii="Times New Roman" w:hAnsi="Times New Roman"/>
          <w:bCs/>
          <w:szCs w:val="24"/>
        </w:rPr>
        <w:fldChar w:fldCharType="end"/>
      </w:r>
      <w:bookmarkEnd w:id="24"/>
      <w:r w:rsidR="00E609CE" w:rsidRPr="00587212">
        <w:rPr>
          <w:rFonts w:ascii="Times New Roman" w:hAnsi="Times New Roman"/>
          <w:bCs/>
          <w:szCs w:val="24"/>
        </w:rPr>
        <w:t xml:space="preserve"> examined the impact of both physical and social environments on walking behavior and concluded that companionship does not</w:t>
      </w:r>
      <w:r w:rsidR="00E609CE" w:rsidRPr="009E1BF4">
        <w:rPr>
          <w:rFonts w:ascii="Times New Roman" w:hAnsi="Times New Roman"/>
          <w:bCs/>
          <w:szCs w:val="24"/>
        </w:rPr>
        <w:t xml:space="preserve"> significantly influence the daily step count of older adults. In </w:t>
      </w:r>
      <w:r w:rsidR="00E609CE" w:rsidRPr="00587212">
        <w:rPr>
          <w:rFonts w:ascii="Times New Roman" w:hAnsi="Times New Roman"/>
          <w:bCs/>
          <w:szCs w:val="24"/>
        </w:rPr>
        <w:t xml:space="preserve">a longitudinal study, </w:t>
      </w:r>
      <w:r w:rsidR="00E609CE" w:rsidRPr="00587212">
        <w:rPr>
          <w:rFonts w:ascii="Times New Roman" w:hAnsi="Times New Roman"/>
          <w:bCs/>
          <w:szCs w:val="24"/>
        </w:rPr>
        <w:fldChar w:fldCharType="begin"/>
      </w:r>
      <w:r w:rsidR="00E609CE" w:rsidRPr="00587212">
        <w:rPr>
          <w:rFonts w:ascii="Times New Roman" w:hAnsi="Times New Roman"/>
          <w:bCs/>
          <w:szCs w:val="24"/>
        </w:rPr>
        <w:instrText xml:space="preserve"> ADDIN ZOTERO_ITEM CSL_CITATION {"citationID":"Pvvs4chX","properties":{"formattedCitation":"(Kritz et al., 2021)","plainCitation":"(Kritz et al., 2021)","dontUpdate":true,"noteIndex":0},"citationItems":[{"id":947,"uris":["http://zotero.org/users/10132210/items/9F5FSKLX"],"itemData":{"id":947,"type":"article-journal","abstract":"The authors examined whether purposeful walking with peers at least once a week contributes to better behavioral and health outcomes in older adults than primarily walking alone. The authors used a longitudinal cohort design and recruited participants aged 60 years and older (N = 136) at the start of a 16-week walking intervention. Participants who walked on average at least once a week in the ﬁnal 8 weeks of the intervention were included in the analysis (N = 79; 66 females, Mage [SD] = 77.73 [6.91]). The authors found that autonomous motivation, walking self-efﬁcacy, functional capacity, body fat, and physical activity improved more in the walking with peers group compared with the walking alone group, after controlling for whether participants lived alone/with others and their health status. The results extend current literature by providing longitudinal evidence for the added beneﬁts of regular peer-accompanied walking in older adults and highlight the importance of investing in peer-supported interventions.","container-title":"Journal of Aging and Physical Activity","DOI":"10.1123/japa.2020-0091","ISSN":"1063-8652, 1543-267X","issue":"3","language":"en","page":"455-465","source":"DOI.org (Crossref)","title":"“It’s Better Together”: A Nested Longitudinal Study Examining the Benefits of Walking Regularly With Peers Versus Primarily Alone in Older Adults","title-short":"“It’s Better Together”","volume":"29","author":[{"family":"Kritz","given":"Marlene"},{"family":"Thøgersen-Ntoumani","given":"Cecilie"},{"family":"Mullan","given":"Barbara"},{"family":"Stathi","given":"Afroditi"},{"family":"Ntoumanis","given":"Nikos"}],"issued":{"date-parts":[["2021",6,1]]}}}],"schema":"https://github.com/citation-style-language/schema/raw/master/csl-citation.json"} </w:instrText>
      </w:r>
      <w:r w:rsidR="00E609CE" w:rsidRPr="00587212">
        <w:rPr>
          <w:rFonts w:ascii="Times New Roman" w:hAnsi="Times New Roman"/>
          <w:bCs/>
          <w:szCs w:val="24"/>
        </w:rPr>
        <w:fldChar w:fldCharType="separate"/>
      </w:r>
      <w:r w:rsidR="00E609CE" w:rsidRPr="00587212">
        <w:rPr>
          <w:rFonts w:ascii="Times New Roman" w:hAnsi="Times New Roman"/>
          <w:szCs w:val="24"/>
        </w:rPr>
        <w:t>Kritz et al. (2021)</w:t>
      </w:r>
      <w:r w:rsidR="00E609CE" w:rsidRPr="00587212">
        <w:rPr>
          <w:rFonts w:ascii="Times New Roman" w:hAnsi="Times New Roman"/>
          <w:bCs/>
          <w:szCs w:val="24"/>
        </w:rPr>
        <w:fldChar w:fldCharType="end"/>
      </w:r>
      <w:r w:rsidR="00E609CE" w:rsidRPr="00587212">
        <w:rPr>
          <w:rFonts w:ascii="Times New Roman" w:hAnsi="Times New Roman"/>
          <w:bCs/>
          <w:szCs w:val="24"/>
        </w:rPr>
        <w:t xml:space="preserve"> discovered that older adults walking with peers tended to walk more frequently than those walking alone, with corresponding improvements in their physical health. </w:t>
      </w:r>
    </w:p>
    <w:p w14:paraId="37B3C247" w14:textId="4E0E1406" w:rsidR="008F73F9" w:rsidRDefault="00E609CE" w:rsidP="003518AB">
      <w:pPr>
        <w:ind w:firstLine="720"/>
        <w:jc w:val="both"/>
        <w:rPr>
          <w:rFonts w:ascii="Times New Roman" w:hAnsi="Times New Roman"/>
          <w:bCs/>
          <w:szCs w:val="24"/>
        </w:rPr>
      </w:pPr>
      <w:r w:rsidRPr="00587212">
        <w:rPr>
          <w:rFonts w:ascii="Times New Roman" w:hAnsi="Times New Roman"/>
          <w:bCs/>
          <w:szCs w:val="24"/>
        </w:rPr>
        <w:t xml:space="preserve">In one of the only </w:t>
      </w:r>
      <w:proofErr w:type="gramStart"/>
      <w:r w:rsidRPr="00587212">
        <w:rPr>
          <w:rFonts w:ascii="Times New Roman" w:hAnsi="Times New Roman"/>
          <w:bCs/>
          <w:szCs w:val="24"/>
        </w:rPr>
        <w:t>studies</w:t>
      </w:r>
      <w:proofErr w:type="gramEnd"/>
      <w:r w:rsidRPr="00587212">
        <w:rPr>
          <w:rFonts w:ascii="Times New Roman" w:hAnsi="Times New Roman"/>
          <w:bCs/>
          <w:szCs w:val="24"/>
        </w:rPr>
        <w:t xml:space="preserve"> we are aware of that expressly considers companionship effects and </w:t>
      </w:r>
      <w:r w:rsidR="008F73F9" w:rsidRPr="00587212">
        <w:rPr>
          <w:rFonts w:ascii="Times New Roman" w:hAnsi="Times New Roman"/>
          <w:bCs/>
          <w:szCs w:val="24"/>
        </w:rPr>
        <w:t xml:space="preserve">neighborhood BE perception effects on individual </w:t>
      </w:r>
      <w:r w:rsidRPr="00587212">
        <w:rPr>
          <w:rFonts w:ascii="Times New Roman" w:hAnsi="Times New Roman"/>
          <w:bCs/>
          <w:szCs w:val="24"/>
        </w:rPr>
        <w:t xml:space="preserve">walk </w:t>
      </w:r>
      <w:r w:rsidR="008F73F9" w:rsidRPr="00587212">
        <w:rPr>
          <w:rFonts w:ascii="Times New Roman" w:hAnsi="Times New Roman"/>
          <w:bCs/>
          <w:szCs w:val="24"/>
        </w:rPr>
        <w:t>duration</w:t>
      </w:r>
      <w:r w:rsidRPr="00587212">
        <w:rPr>
          <w:rFonts w:ascii="Times New Roman" w:hAnsi="Times New Roman"/>
          <w:bCs/>
          <w:szCs w:val="24"/>
        </w:rPr>
        <w:t xml:space="preserve"> (</w:t>
      </w:r>
      <w:r w:rsidR="004F19C4" w:rsidRPr="00587212">
        <w:rPr>
          <w:rFonts w:ascii="Times New Roman" w:hAnsi="Times New Roman"/>
          <w:bCs/>
          <w:szCs w:val="24"/>
        </w:rPr>
        <w:t xml:space="preserve">but at the trip level rather </w:t>
      </w:r>
      <w:r w:rsidRPr="00587212">
        <w:rPr>
          <w:rFonts w:ascii="Times New Roman" w:hAnsi="Times New Roman"/>
          <w:bCs/>
          <w:szCs w:val="24"/>
        </w:rPr>
        <w:t xml:space="preserve">than </w:t>
      </w:r>
      <w:r w:rsidR="004F19C4" w:rsidRPr="00587212">
        <w:rPr>
          <w:rFonts w:ascii="Times New Roman" w:hAnsi="Times New Roman"/>
          <w:bCs/>
          <w:szCs w:val="24"/>
        </w:rPr>
        <w:t xml:space="preserve">a </w:t>
      </w:r>
      <w:r w:rsidRPr="00587212">
        <w:rPr>
          <w:rFonts w:ascii="Times New Roman" w:hAnsi="Times New Roman"/>
          <w:bCs/>
          <w:szCs w:val="24"/>
        </w:rPr>
        <w:t>weekly</w:t>
      </w:r>
      <w:r w:rsidR="004F19C4" w:rsidRPr="00587212">
        <w:rPr>
          <w:rFonts w:ascii="Times New Roman" w:hAnsi="Times New Roman"/>
          <w:bCs/>
          <w:szCs w:val="24"/>
        </w:rPr>
        <w:t xml:space="preserve"> level</w:t>
      </w:r>
      <w:r w:rsidRPr="00587212">
        <w:rPr>
          <w:rFonts w:ascii="Times New Roman" w:hAnsi="Times New Roman"/>
          <w:bCs/>
          <w:szCs w:val="24"/>
        </w:rPr>
        <w:t>)</w:t>
      </w:r>
      <w:r w:rsidR="004F19C4" w:rsidRPr="00587212">
        <w:rPr>
          <w:rFonts w:ascii="Times New Roman" w:hAnsi="Times New Roman"/>
          <w:bCs/>
          <w:szCs w:val="24"/>
        </w:rPr>
        <w:t xml:space="preserve">, </w:t>
      </w:r>
      <w:r w:rsidRPr="00587212">
        <w:rPr>
          <w:rFonts w:ascii="Times New Roman" w:hAnsi="Times New Roman"/>
          <w:bCs/>
          <w:szCs w:val="24"/>
        </w:rPr>
        <w:t xml:space="preserve">Liu et al. (2020) </w:t>
      </w:r>
      <w:r w:rsidR="008F73F9" w:rsidRPr="00587212">
        <w:rPr>
          <w:rFonts w:ascii="Times New Roman" w:hAnsi="Times New Roman"/>
          <w:bCs/>
          <w:szCs w:val="24"/>
        </w:rPr>
        <w:t>employed a survey of older adults residing in Dalian, China</w:t>
      </w:r>
      <w:r w:rsidRPr="00587212">
        <w:rPr>
          <w:rFonts w:ascii="Times New Roman" w:hAnsi="Times New Roman"/>
          <w:bCs/>
          <w:szCs w:val="24"/>
        </w:rPr>
        <w:t xml:space="preserve">. </w:t>
      </w:r>
      <w:r w:rsidR="008F73F9" w:rsidRPr="00587212">
        <w:rPr>
          <w:rFonts w:ascii="Times New Roman" w:hAnsi="Times New Roman"/>
          <w:bCs/>
          <w:szCs w:val="24"/>
        </w:rPr>
        <w:t>Their results reveal</w:t>
      </w:r>
      <w:r w:rsidR="004F19C4" w:rsidRPr="00587212">
        <w:rPr>
          <w:rFonts w:ascii="Times New Roman" w:hAnsi="Times New Roman"/>
          <w:bCs/>
          <w:szCs w:val="24"/>
        </w:rPr>
        <w:t>ed</w:t>
      </w:r>
      <w:r w:rsidR="008F73F9" w:rsidRPr="00587212">
        <w:rPr>
          <w:rFonts w:ascii="Times New Roman" w:hAnsi="Times New Roman"/>
          <w:bCs/>
          <w:szCs w:val="24"/>
        </w:rPr>
        <w:t xml:space="preserve"> an interesting pattern where walking trip duration</w:t>
      </w:r>
      <w:r w:rsidR="004F19C4" w:rsidRPr="00587212">
        <w:rPr>
          <w:rFonts w:ascii="Times New Roman" w:hAnsi="Times New Roman"/>
          <w:bCs/>
          <w:szCs w:val="24"/>
        </w:rPr>
        <w:t xml:space="preserve"> </w:t>
      </w:r>
      <w:r w:rsidR="008F73F9" w:rsidRPr="00587212">
        <w:rPr>
          <w:rFonts w:ascii="Times New Roman" w:hAnsi="Times New Roman"/>
          <w:bCs/>
          <w:szCs w:val="24"/>
        </w:rPr>
        <w:t>decrease</w:t>
      </w:r>
      <w:r w:rsidR="004F19C4" w:rsidRPr="00587212">
        <w:rPr>
          <w:rFonts w:ascii="Times New Roman" w:hAnsi="Times New Roman"/>
          <w:bCs/>
          <w:szCs w:val="24"/>
        </w:rPr>
        <w:t>d</w:t>
      </w:r>
      <w:r w:rsidR="008F73F9" w:rsidRPr="00587212">
        <w:rPr>
          <w:rFonts w:ascii="Times New Roman" w:hAnsi="Times New Roman"/>
          <w:bCs/>
          <w:szCs w:val="24"/>
        </w:rPr>
        <w:t xml:space="preserve"> when combined with other activities, when pursued with a social companion, and </w:t>
      </w:r>
      <w:r w:rsidRPr="00587212">
        <w:rPr>
          <w:rFonts w:ascii="Times New Roman" w:hAnsi="Times New Roman"/>
          <w:bCs/>
          <w:szCs w:val="24"/>
        </w:rPr>
        <w:t xml:space="preserve">when </w:t>
      </w:r>
      <w:r w:rsidR="008F73F9" w:rsidRPr="00587212">
        <w:rPr>
          <w:rFonts w:ascii="Times New Roman" w:hAnsi="Times New Roman"/>
          <w:bCs/>
          <w:szCs w:val="24"/>
        </w:rPr>
        <w:t>undertaken frequently during the week. Trip walking duration also increased when residents (a) were satisfied with pedestrian walkway facilities, (b) had a positive view of neighborhood aesthetics, and (c) walked in the evening and felt crime safety was quite under control.</w:t>
      </w:r>
      <w:r w:rsidR="00F75CDE" w:rsidRPr="00587212">
        <w:rPr>
          <w:rFonts w:ascii="Times New Roman" w:hAnsi="Times New Roman"/>
          <w:bCs/>
          <w:szCs w:val="24"/>
        </w:rPr>
        <w:t xml:space="preserve"> </w:t>
      </w:r>
    </w:p>
    <w:p w14:paraId="0D231315" w14:textId="77777777" w:rsidR="003518AB" w:rsidRPr="00587212" w:rsidRDefault="003518AB" w:rsidP="003518AB">
      <w:pPr>
        <w:ind w:firstLine="720"/>
        <w:jc w:val="both"/>
        <w:rPr>
          <w:rFonts w:ascii="Times New Roman" w:hAnsi="Times New Roman"/>
          <w:bCs/>
          <w:szCs w:val="24"/>
        </w:rPr>
      </w:pPr>
    </w:p>
    <w:p w14:paraId="3026C5D7" w14:textId="20EA9B25" w:rsidR="00CA2A38" w:rsidRPr="00587212" w:rsidRDefault="00F828B0" w:rsidP="003518AB">
      <w:pPr>
        <w:pStyle w:val="Heading2"/>
        <w:spacing w:line="240" w:lineRule="auto"/>
        <w:ind w:hanging="540"/>
        <w:contextualSpacing w:val="0"/>
      </w:pPr>
      <w:r w:rsidRPr="00587212">
        <w:t xml:space="preserve">The Current Study </w:t>
      </w:r>
    </w:p>
    <w:p w14:paraId="0D8BDF35" w14:textId="05EE9D48" w:rsidR="00C97BB1" w:rsidRDefault="00C50F67" w:rsidP="003518AB">
      <w:pPr>
        <w:autoSpaceDE w:val="0"/>
        <w:autoSpaceDN w:val="0"/>
        <w:adjustRightInd w:val="0"/>
        <w:jc w:val="both"/>
        <w:rPr>
          <w:rFonts w:ascii="Times New Roman" w:eastAsiaTheme="minorEastAsia" w:hAnsi="Times New Roman"/>
          <w:bCs/>
          <w:lang w:eastAsia="ko-KR"/>
        </w:rPr>
      </w:pPr>
      <w:r w:rsidRPr="00587212">
        <w:rPr>
          <w:rFonts w:ascii="Times New Roman" w:eastAsiaTheme="minorEastAsia" w:hAnsi="Times New Roman"/>
          <w:lang w:eastAsia="ko-KR"/>
        </w:rPr>
        <w:t xml:space="preserve">Table 1 synthesizes </w:t>
      </w:r>
      <w:r w:rsidR="00EF54CA" w:rsidRPr="00587212">
        <w:rPr>
          <w:rFonts w:ascii="Times New Roman" w:eastAsiaTheme="minorEastAsia" w:hAnsi="Times New Roman"/>
          <w:lang w:eastAsia="ko-KR"/>
        </w:rPr>
        <w:t>the many walking studies</w:t>
      </w:r>
      <w:r w:rsidR="004F19C4" w:rsidRPr="00587212">
        <w:rPr>
          <w:rFonts w:ascii="Times New Roman" w:eastAsiaTheme="minorEastAsia" w:hAnsi="Times New Roman"/>
          <w:lang w:eastAsia="ko-KR"/>
        </w:rPr>
        <w:t xml:space="preserve"> just discussed</w:t>
      </w:r>
      <w:r w:rsidR="00A00876" w:rsidRPr="00587212">
        <w:rPr>
          <w:rFonts w:ascii="Times New Roman" w:eastAsiaTheme="minorEastAsia" w:hAnsi="Times New Roman"/>
          <w:lang w:eastAsia="ko-KR"/>
        </w:rPr>
        <w:t>.</w:t>
      </w:r>
      <w:r w:rsidR="000E0D83" w:rsidRPr="00587212">
        <w:rPr>
          <w:rFonts w:ascii="Times New Roman" w:eastAsiaTheme="minorEastAsia" w:hAnsi="Times New Roman"/>
          <w:lang w:eastAsia="ko-KR"/>
        </w:rPr>
        <w:t xml:space="preserve"> </w:t>
      </w:r>
      <w:r w:rsidR="00EF54CA" w:rsidRPr="00587212">
        <w:rPr>
          <w:rFonts w:ascii="Times New Roman" w:eastAsiaTheme="minorEastAsia" w:hAnsi="Times New Roman"/>
          <w:lang w:eastAsia="ko-KR"/>
        </w:rPr>
        <w:t xml:space="preserve">In the table, we do not include review studies, but do include the Hwang et al. (2023) and Younes et al. (2023) studies that have been undertaken after the onset of the pandemic and considered age as an exogenous variable in their walking studies. </w:t>
      </w:r>
      <w:r w:rsidR="008E15B0" w:rsidRPr="00587212">
        <w:rPr>
          <w:rFonts w:ascii="Times New Roman" w:eastAsiaTheme="minorEastAsia" w:hAnsi="Times New Roman"/>
          <w:lang w:eastAsia="ko-KR"/>
        </w:rPr>
        <w:t>In addition to the studies discussed earlier, we also include the study by</w:t>
      </w:r>
      <w:r w:rsidR="00754890" w:rsidRPr="00587212">
        <w:rPr>
          <w:rFonts w:ascii="Times New Roman" w:eastAsiaTheme="minorEastAsia" w:hAnsi="Times New Roman" w:hint="eastAsia"/>
          <w:lang w:eastAsia="ko-KR"/>
        </w:rPr>
        <w:t xml:space="preserve"> </w:t>
      </w:r>
      <w:bookmarkStart w:id="25" w:name="_Hlk169961133"/>
      <w:r w:rsidR="00754890" w:rsidRPr="00587212">
        <w:rPr>
          <w:rFonts w:ascii="Times New Roman" w:eastAsiaTheme="minorEastAsia" w:hAnsi="Times New Roman"/>
          <w:lang w:eastAsia="ko-KR"/>
        </w:rPr>
        <w:fldChar w:fldCharType="begin"/>
      </w:r>
      <w:r w:rsidR="00714083" w:rsidRPr="00587212">
        <w:rPr>
          <w:rFonts w:ascii="Times New Roman" w:eastAsiaTheme="minorEastAsia" w:hAnsi="Times New Roman"/>
          <w:lang w:eastAsia="ko-KR"/>
        </w:rPr>
        <w:instrText xml:space="preserve"> ADDIN ZOTERO_ITEM CSL_CITATION {"citationID":"eiMaBp31","properties":{"formattedCitation":"(Yang et al., 2022)","plainCitation":"(Yang et al., 2022)","dontUpdate":true,"noteIndex":0},"citationItems":[{"id":987,"uris":["http://zotero.org/users/10132210/items/42AAUN5J"],"itemData":{"id":987,"type":"article-journal","abstract":"As the most prevalent physical activity and transportation mode for older people, walking is considered to have multiple health and well-­being benefits. Previous studies used separate models to assess the built-­environment determinants of a battery of walking behavior measures, such as walking frequency and duration. In a departure from them, this study develops a system of equations, which is estimated by seemingly unrelated regression, to determine the built-­environment factors that significantly influence two correlated walking behavior measures (including walking frequency and duration) of older adults in Xiamen (a medium-­sized Chinese city) based on data from the Travel Survey of Xiamen Residents 2015 and built-­environment geo-­data. The results show the following: (1) the walking frequency and duration of older adults are affected by the built environment and socio-­demographic characteristics; (2) land-­use mix, intersection density, and bus route density positively influence older adults’ walking frequency and duration; (3) distance to the commercial center adversely impacts the walking frequency and duration; and (4) the built environment has similar effects on the two measures. This study offers a worthwhile reference for policy intervention to promote older adults' walking activities, thereby contributing to active and healthy aging.","container-title":"Transactions in GIS","DOI":"10.1111/tgis.12916","ISSN":"1361-1682, 1467-9671","issue":"3","journalAbbreviation":"Transactions in GIS","language":"en","page":"1339-1354","source":"DOI.org (Crossref)","title":"Using a system of equations to assess the determinants of the walking behavior of older adults","volume":"26","author":[{"family":"Yang","given":"Linchuan"},{"family":"Tang","given":"Xianglong"},{"family":"Yang","given":"Hongtai"},{"family":"Meng","given":"Fanyu"},{"family":"Liu","given":"Jixiang"}],"issued":{"date-parts":[["2022",5]]}}}],"schema":"https://github.com/citation-style-language/schema/raw/master/csl-citation.json"} </w:instrText>
      </w:r>
      <w:r w:rsidR="00754890" w:rsidRPr="00587212">
        <w:rPr>
          <w:rFonts w:ascii="Times New Roman" w:eastAsiaTheme="minorEastAsia" w:hAnsi="Times New Roman"/>
          <w:lang w:eastAsia="ko-KR"/>
        </w:rPr>
        <w:fldChar w:fldCharType="separate"/>
      </w:r>
      <w:r w:rsidR="00754890" w:rsidRPr="00587212">
        <w:rPr>
          <w:rFonts w:ascii="Times New Roman" w:hAnsi="Times New Roman"/>
        </w:rPr>
        <w:t xml:space="preserve">Yang et al. </w:t>
      </w:r>
      <w:r w:rsidR="00754890" w:rsidRPr="00587212">
        <w:rPr>
          <w:rFonts w:ascii="Times New Roman" w:eastAsiaTheme="minorEastAsia" w:hAnsi="Times New Roman"/>
          <w:lang w:eastAsia="ko-KR"/>
        </w:rPr>
        <w:t>(</w:t>
      </w:r>
      <w:r w:rsidR="00754890" w:rsidRPr="00587212">
        <w:rPr>
          <w:rFonts w:ascii="Times New Roman" w:hAnsi="Times New Roman"/>
        </w:rPr>
        <w:t>2022)</w:t>
      </w:r>
      <w:r w:rsidR="00754890" w:rsidRPr="00587212">
        <w:rPr>
          <w:rFonts w:ascii="Times New Roman" w:eastAsiaTheme="minorEastAsia" w:hAnsi="Times New Roman"/>
          <w:lang w:eastAsia="ko-KR"/>
        </w:rPr>
        <w:fldChar w:fldCharType="end"/>
      </w:r>
      <w:r w:rsidR="008E15B0" w:rsidRPr="00587212">
        <w:rPr>
          <w:rFonts w:ascii="Times New Roman" w:eastAsiaTheme="minorEastAsia" w:hAnsi="Times New Roman"/>
          <w:bCs/>
          <w:lang w:eastAsia="ko-KR"/>
        </w:rPr>
        <w:t xml:space="preserve">, </w:t>
      </w:r>
      <w:bookmarkEnd w:id="25"/>
      <w:r w:rsidR="008E15B0" w:rsidRPr="00587212">
        <w:rPr>
          <w:rFonts w:ascii="Times New Roman" w:eastAsiaTheme="minorEastAsia" w:hAnsi="Times New Roman"/>
          <w:bCs/>
          <w:lang w:eastAsia="ko-KR"/>
        </w:rPr>
        <w:t>who applied a seemingly unrelated regression equations system to examine the influence of</w:t>
      </w:r>
      <w:r w:rsidR="00EE094B" w:rsidRPr="00587212">
        <w:rPr>
          <w:rFonts w:ascii="Times New Roman" w:eastAsiaTheme="minorEastAsia" w:hAnsi="Times New Roman"/>
          <w:bCs/>
          <w:lang w:eastAsia="ko-KR"/>
        </w:rPr>
        <w:t xml:space="preserve"> neighborhood BE factors and </w:t>
      </w:r>
      <w:proofErr w:type="spellStart"/>
      <w:r w:rsidR="00EE094B" w:rsidRPr="00587212">
        <w:rPr>
          <w:rFonts w:ascii="Times New Roman" w:eastAsiaTheme="minorEastAsia" w:hAnsi="Times New Roman"/>
          <w:bCs/>
          <w:lang w:eastAsia="ko-KR"/>
        </w:rPr>
        <w:t>sociodemographics</w:t>
      </w:r>
      <w:proofErr w:type="spellEnd"/>
      <w:r w:rsidR="00EE094B" w:rsidRPr="0091212F">
        <w:rPr>
          <w:rFonts w:ascii="Times New Roman" w:eastAsiaTheme="minorEastAsia" w:hAnsi="Times New Roman"/>
          <w:bCs/>
          <w:lang w:eastAsia="ko-KR"/>
        </w:rPr>
        <w:t xml:space="preserve"> </w:t>
      </w:r>
      <w:r w:rsidR="008E15B0" w:rsidRPr="001F57F8">
        <w:rPr>
          <w:rFonts w:ascii="Times New Roman" w:eastAsiaTheme="minorEastAsia" w:hAnsi="Times New Roman"/>
          <w:bCs/>
          <w:lang w:eastAsia="ko-KR"/>
        </w:rPr>
        <w:t xml:space="preserve">on </w:t>
      </w:r>
      <w:r w:rsidR="004F19C4">
        <w:rPr>
          <w:rFonts w:ascii="Times New Roman" w:eastAsiaTheme="minorEastAsia" w:hAnsi="Times New Roman"/>
          <w:bCs/>
          <w:lang w:eastAsia="ko-KR"/>
        </w:rPr>
        <w:t xml:space="preserve">daily </w:t>
      </w:r>
      <w:r w:rsidR="008E15B0" w:rsidRPr="001F57F8">
        <w:rPr>
          <w:rFonts w:ascii="Times New Roman" w:eastAsiaTheme="minorEastAsia" w:hAnsi="Times New Roman"/>
          <w:bCs/>
          <w:lang w:eastAsia="ko-KR"/>
        </w:rPr>
        <w:t xml:space="preserve">walking frequency and </w:t>
      </w:r>
      <w:r w:rsidR="008E15B0" w:rsidRPr="00C97BB1">
        <w:rPr>
          <w:rFonts w:ascii="Times New Roman" w:eastAsiaTheme="minorEastAsia" w:hAnsi="Times New Roman"/>
          <w:bCs/>
          <w:lang w:eastAsia="ko-KR"/>
        </w:rPr>
        <w:t>duration,</w:t>
      </w:r>
      <w:r w:rsidR="004F19C4">
        <w:rPr>
          <w:rFonts w:ascii="Times New Roman" w:eastAsiaTheme="minorEastAsia" w:hAnsi="Times New Roman"/>
          <w:bCs/>
          <w:lang w:eastAsia="ko-KR"/>
        </w:rPr>
        <w:t xml:space="preserve"> </w:t>
      </w:r>
      <w:r w:rsidR="00EE094B" w:rsidRPr="001F57F8">
        <w:rPr>
          <w:rFonts w:ascii="Times New Roman" w:eastAsiaTheme="minorEastAsia" w:hAnsi="Times New Roman"/>
          <w:bCs/>
          <w:lang w:eastAsia="ko-KR"/>
        </w:rPr>
        <w:t xml:space="preserve">accommodating for unobserved correlations </w:t>
      </w:r>
      <w:r w:rsidR="00C97BB1" w:rsidRPr="00C97BB1">
        <w:rPr>
          <w:rFonts w:ascii="Times New Roman" w:eastAsiaTheme="minorEastAsia" w:hAnsi="Times New Roman"/>
          <w:bCs/>
          <w:lang w:eastAsia="ko-KR"/>
        </w:rPr>
        <w:t xml:space="preserve">(such as weather conditions on the day of survey) </w:t>
      </w:r>
      <w:r w:rsidR="00EE094B" w:rsidRPr="00C97BB1">
        <w:rPr>
          <w:rFonts w:ascii="Times New Roman" w:eastAsiaTheme="minorEastAsia" w:hAnsi="Times New Roman"/>
          <w:bCs/>
          <w:lang w:eastAsia="ko-KR"/>
        </w:rPr>
        <w:t>between walk frequency and walk duration</w:t>
      </w:r>
      <w:r w:rsidR="008E15B0" w:rsidRPr="00C97BB1">
        <w:rPr>
          <w:rFonts w:ascii="Times New Roman" w:eastAsiaTheme="minorEastAsia" w:hAnsi="Times New Roman"/>
          <w:bCs/>
          <w:lang w:eastAsia="ko-KR"/>
        </w:rPr>
        <w:t xml:space="preserve">. </w:t>
      </w:r>
      <w:r w:rsidR="00EE094B" w:rsidRPr="00C97BB1">
        <w:rPr>
          <w:rFonts w:ascii="Times New Roman" w:eastAsiaTheme="minorEastAsia" w:hAnsi="Times New Roman"/>
          <w:bCs/>
          <w:lang w:eastAsia="ko-KR"/>
        </w:rPr>
        <w:t>Their analysis use</w:t>
      </w:r>
      <w:r w:rsidR="0006405F">
        <w:rPr>
          <w:rFonts w:ascii="Times New Roman" w:eastAsiaTheme="minorEastAsia" w:hAnsi="Times New Roman"/>
          <w:bCs/>
          <w:lang w:eastAsia="ko-KR"/>
        </w:rPr>
        <w:t>d</w:t>
      </w:r>
      <w:r w:rsidR="00EE094B" w:rsidRPr="001F57F8">
        <w:rPr>
          <w:rFonts w:ascii="Times New Roman" w:eastAsiaTheme="minorEastAsia" w:hAnsi="Times New Roman"/>
          <w:bCs/>
          <w:lang w:eastAsia="ko-KR"/>
        </w:rPr>
        <w:t xml:space="preserve"> a </w:t>
      </w:r>
      <w:r w:rsidR="00EE094B" w:rsidRPr="00C97BB1">
        <w:rPr>
          <w:rFonts w:ascii="Times New Roman" w:eastAsiaTheme="minorEastAsia" w:hAnsi="Times New Roman"/>
          <w:bCs/>
          <w:lang w:eastAsia="ko-KR"/>
        </w:rPr>
        <w:t>2015 travel survey from Xi</w:t>
      </w:r>
      <w:r w:rsidR="00587212">
        <w:rPr>
          <w:rFonts w:ascii="Times New Roman" w:eastAsiaTheme="minorEastAsia" w:hAnsi="Times New Roman" w:hint="eastAsia"/>
          <w:bCs/>
          <w:lang w:eastAsia="ko-KR"/>
        </w:rPr>
        <w:t>a</w:t>
      </w:r>
      <w:r w:rsidR="00EE094B" w:rsidRPr="00C97BB1">
        <w:rPr>
          <w:rFonts w:ascii="Times New Roman" w:eastAsiaTheme="minorEastAsia" w:hAnsi="Times New Roman"/>
          <w:bCs/>
          <w:lang w:eastAsia="ko-KR"/>
        </w:rPr>
        <w:t>men, China, from which they select</w:t>
      </w:r>
      <w:r w:rsidR="0006405F">
        <w:rPr>
          <w:rFonts w:ascii="Times New Roman" w:eastAsiaTheme="minorEastAsia" w:hAnsi="Times New Roman"/>
          <w:bCs/>
          <w:lang w:eastAsia="ko-KR"/>
        </w:rPr>
        <w:t>ed</w:t>
      </w:r>
      <w:r w:rsidR="00EE094B" w:rsidRPr="001F57F8">
        <w:rPr>
          <w:rFonts w:ascii="Times New Roman" w:eastAsiaTheme="minorEastAsia" w:hAnsi="Times New Roman"/>
          <w:bCs/>
          <w:lang w:eastAsia="ko-KR"/>
        </w:rPr>
        <w:t xml:space="preserve"> individuals 60 years of age or over</w:t>
      </w:r>
      <w:r w:rsidR="00EE094B" w:rsidRPr="00C97BB1">
        <w:rPr>
          <w:rFonts w:ascii="Times New Roman" w:eastAsiaTheme="minorEastAsia" w:hAnsi="Times New Roman"/>
          <w:bCs/>
          <w:lang w:eastAsia="ko-KR"/>
        </w:rPr>
        <w:t xml:space="preserve">. The definition of a neighborhood in their analysis </w:t>
      </w:r>
      <w:r w:rsidR="0006405F">
        <w:rPr>
          <w:rFonts w:ascii="Times New Roman" w:eastAsiaTheme="minorEastAsia" w:hAnsi="Times New Roman"/>
          <w:bCs/>
          <w:lang w:eastAsia="ko-KR"/>
        </w:rPr>
        <w:t>wa</w:t>
      </w:r>
      <w:r w:rsidR="00EE094B" w:rsidRPr="001F57F8">
        <w:rPr>
          <w:rFonts w:ascii="Times New Roman" w:eastAsiaTheme="minorEastAsia" w:hAnsi="Times New Roman"/>
          <w:bCs/>
          <w:lang w:eastAsia="ko-KR"/>
        </w:rPr>
        <w:t xml:space="preserve">s at the </w:t>
      </w:r>
      <w:r w:rsidR="00EE094B" w:rsidRPr="00C97BB1">
        <w:rPr>
          <w:rFonts w:ascii="Times New Roman" w:eastAsiaTheme="minorEastAsia" w:hAnsi="Times New Roman"/>
          <w:bCs/>
          <w:lang w:eastAsia="ko-KR"/>
        </w:rPr>
        <w:t>community level (</w:t>
      </w:r>
      <w:proofErr w:type="spellStart"/>
      <w:r w:rsidR="00EE094B" w:rsidRPr="0035206B">
        <w:rPr>
          <w:rFonts w:ascii="Times New Roman" w:eastAsiaTheme="minorEastAsia" w:hAnsi="Times New Roman"/>
          <w:bCs/>
          <w:i/>
          <w:iCs/>
          <w:lang w:eastAsia="ko-KR"/>
        </w:rPr>
        <w:t>shequ</w:t>
      </w:r>
      <w:proofErr w:type="spellEnd"/>
      <w:r w:rsidR="00EE094B" w:rsidRPr="00141DA5">
        <w:rPr>
          <w:rFonts w:ascii="Times New Roman" w:eastAsiaTheme="minorEastAsia" w:hAnsi="Times New Roman"/>
          <w:bCs/>
          <w:lang w:eastAsia="ko-KR"/>
        </w:rPr>
        <w:t xml:space="preserve">). </w:t>
      </w:r>
      <w:r w:rsidR="00C97BB1" w:rsidRPr="00141DA5">
        <w:rPr>
          <w:rFonts w:ascii="Times New Roman" w:eastAsiaTheme="minorEastAsia" w:hAnsi="Times New Roman"/>
          <w:bCs/>
          <w:lang w:eastAsia="ko-KR"/>
        </w:rPr>
        <w:t>Their results indicate</w:t>
      </w:r>
      <w:r w:rsidR="0006405F">
        <w:rPr>
          <w:rFonts w:ascii="Times New Roman" w:eastAsiaTheme="minorEastAsia" w:hAnsi="Times New Roman"/>
          <w:bCs/>
          <w:lang w:eastAsia="ko-KR"/>
        </w:rPr>
        <w:t>d</w:t>
      </w:r>
      <w:r w:rsidR="00C97BB1" w:rsidRPr="00141DA5">
        <w:rPr>
          <w:rFonts w:ascii="Times New Roman" w:eastAsiaTheme="minorEastAsia" w:hAnsi="Times New Roman"/>
          <w:bCs/>
          <w:lang w:eastAsia="ko-KR"/>
        </w:rPr>
        <w:t xml:space="preserve"> the strong positive </w:t>
      </w:r>
      <w:r w:rsidR="00C97BB1" w:rsidRPr="00D66369">
        <w:rPr>
          <w:rFonts w:ascii="Times New Roman" w:eastAsiaTheme="minorEastAsia" w:hAnsi="Times New Roman"/>
          <w:bCs/>
          <w:lang w:eastAsia="ko-KR"/>
        </w:rPr>
        <w:t>effects</w:t>
      </w:r>
      <w:r w:rsidR="00C97BB1" w:rsidRPr="005C237C">
        <w:rPr>
          <w:rFonts w:ascii="Times New Roman" w:eastAsiaTheme="minorEastAsia" w:hAnsi="Times New Roman"/>
          <w:bCs/>
          <w:lang w:eastAsia="ko-KR"/>
        </w:rPr>
        <w:t xml:space="preserve"> </w:t>
      </w:r>
      <w:r w:rsidR="00C97BB1" w:rsidRPr="0091212F">
        <w:rPr>
          <w:rFonts w:ascii="Times New Roman" w:eastAsiaTheme="minorEastAsia" w:hAnsi="Times New Roman"/>
          <w:bCs/>
          <w:lang w:eastAsia="ko-KR"/>
        </w:rPr>
        <w:t xml:space="preserve">of </w:t>
      </w:r>
      <w:r w:rsidR="00C97BB1" w:rsidRPr="00F86AAD">
        <w:rPr>
          <w:rFonts w:ascii="Times New Roman" w:eastAsiaTheme="minorEastAsia" w:hAnsi="Times New Roman"/>
          <w:bCs/>
          <w:lang w:eastAsia="ko-KR"/>
        </w:rPr>
        <w:t xml:space="preserve">good land-use mix, </w:t>
      </w:r>
      <w:r w:rsidR="00C97BB1" w:rsidRPr="001F57F8">
        <w:rPr>
          <w:rFonts w:ascii="Times New Roman" w:eastAsiaTheme="minorEastAsia" w:hAnsi="Times New Roman"/>
          <w:bCs/>
          <w:lang w:eastAsia="ko-KR"/>
        </w:rPr>
        <w:t xml:space="preserve">high </w:t>
      </w:r>
      <w:r w:rsidR="00C97BB1" w:rsidRPr="00C97BB1">
        <w:rPr>
          <w:rFonts w:ascii="Times New Roman" w:eastAsiaTheme="minorEastAsia" w:hAnsi="Times New Roman"/>
          <w:bCs/>
          <w:lang w:eastAsia="ko-KR"/>
        </w:rPr>
        <w:t>intersection density, and proximity to the commercial center on both the dimensions of frequency and duration, as well as</w:t>
      </w:r>
      <w:r w:rsidR="0006405F">
        <w:rPr>
          <w:rFonts w:ascii="Times New Roman" w:eastAsiaTheme="minorEastAsia" w:hAnsi="Times New Roman"/>
          <w:bCs/>
          <w:lang w:eastAsia="ko-KR"/>
        </w:rPr>
        <w:t xml:space="preserve"> revealed </w:t>
      </w:r>
      <w:r w:rsidR="00C97BB1" w:rsidRPr="001F57F8">
        <w:rPr>
          <w:rFonts w:ascii="Times New Roman" w:eastAsiaTheme="minorEastAsia" w:hAnsi="Times New Roman"/>
          <w:bCs/>
          <w:lang w:eastAsia="ko-KR"/>
        </w:rPr>
        <w:t>significant demographic effects (</w:t>
      </w:r>
      <w:r w:rsidR="00C97BB1" w:rsidRPr="00C97BB1">
        <w:rPr>
          <w:rFonts w:ascii="Times New Roman" w:eastAsiaTheme="minorEastAsia" w:hAnsi="Times New Roman"/>
          <w:bCs/>
          <w:lang w:eastAsia="ko-KR"/>
        </w:rPr>
        <w:t xml:space="preserve">men, older and more highly educated individuals, those with many household members, and with a driver’s license walk less). The correlation between frequency and duration </w:t>
      </w:r>
      <w:r w:rsidR="0006405F">
        <w:rPr>
          <w:rFonts w:ascii="Times New Roman" w:eastAsiaTheme="minorEastAsia" w:hAnsi="Times New Roman"/>
          <w:bCs/>
          <w:lang w:eastAsia="ko-KR"/>
        </w:rPr>
        <w:t xml:space="preserve">turned out to be </w:t>
      </w:r>
      <w:r w:rsidR="00C97BB1" w:rsidRPr="001F57F8">
        <w:rPr>
          <w:rFonts w:ascii="Times New Roman" w:eastAsiaTheme="minorEastAsia" w:hAnsi="Times New Roman"/>
          <w:bCs/>
          <w:lang w:eastAsia="ko-KR"/>
        </w:rPr>
        <w:t xml:space="preserve">positive and statistically </w:t>
      </w:r>
      <w:r w:rsidR="00C97BB1" w:rsidRPr="00C97BB1">
        <w:rPr>
          <w:rFonts w:ascii="Times New Roman" w:eastAsiaTheme="minorEastAsia" w:hAnsi="Times New Roman"/>
          <w:bCs/>
          <w:lang w:eastAsia="ko-KR"/>
        </w:rPr>
        <w:t>significant</w:t>
      </w:r>
      <w:r w:rsidR="00C97BB1">
        <w:rPr>
          <w:rFonts w:ascii="Times New Roman" w:eastAsiaTheme="minorEastAsia" w:hAnsi="Times New Roman"/>
          <w:bCs/>
          <w:lang w:eastAsia="ko-KR"/>
        </w:rPr>
        <w:t xml:space="preserve">. While providing good empirical insights, this study’s use of </w:t>
      </w:r>
      <w:r w:rsidR="00A65D4C">
        <w:rPr>
          <w:rFonts w:ascii="Times New Roman" w:eastAsiaTheme="minorEastAsia" w:hAnsi="Times New Roman"/>
          <w:bCs/>
          <w:lang w:eastAsia="ko-KR"/>
        </w:rPr>
        <w:t xml:space="preserve">a correlated linear regression for </w:t>
      </w:r>
      <w:r w:rsidR="0006405F">
        <w:rPr>
          <w:rFonts w:ascii="Times New Roman" w:eastAsiaTheme="minorEastAsia" w:hAnsi="Times New Roman"/>
          <w:bCs/>
          <w:lang w:eastAsia="ko-KR"/>
        </w:rPr>
        <w:t>daily</w:t>
      </w:r>
      <w:r w:rsidR="00A65D4C">
        <w:rPr>
          <w:rFonts w:ascii="Times New Roman" w:eastAsiaTheme="minorEastAsia" w:hAnsi="Times New Roman"/>
          <w:bCs/>
          <w:lang w:eastAsia="ko-KR"/>
        </w:rPr>
        <w:t xml:space="preserve"> </w:t>
      </w:r>
      <w:r w:rsidR="0006405F">
        <w:rPr>
          <w:rFonts w:ascii="Times New Roman" w:eastAsiaTheme="minorEastAsia" w:hAnsi="Times New Roman"/>
          <w:bCs/>
          <w:lang w:eastAsia="ko-KR"/>
        </w:rPr>
        <w:t>walk</w:t>
      </w:r>
      <w:r w:rsidR="00A65D4C">
        <w:rPr>
          <w:rFonts w:ascii="Times New Roman" w:eastAsiaTheme="minorEastAsia" w:hAnsi="Times New Roman"/>
          <w:bCs/>
          <w:lang w:eastAsia="ko-KR"/>
        </w:rPr>
        <w:t xml:space="preserve"> outcome</w:t>
      </w:r>
      <w:r w:rsidR="006E415B">
        <w:rPr>
          <w:rFonts w:ascii="Times New Roman" w:eastAsiaTheme="minorEastAsia" w:hAnsi="Times New Roman"/>
          <w:bCs/>
          <w:lang w:eastAsia="ko-KR"/>
        </w:rPr>
        <w:t>s</w:t>
      </w:r>
      <w:r w:rsidR="00A65D4C">
        <w:rPr>
          <w:rFonts w:ascii="Times New Roman" w:eastAsiaTheme="minorEastAsia" w:hAnsi="Times New Roman"/>
          <w:bCs/>
          <w:lang w:eastAsia="ko-KR"/>
        </w:rPr>
        <w:t xml:space="preserve"> (with a mean value of 1.11 walk bouts in the day) </w:t>
      </w:r>
      <w:r w:rsidR="0006405F">
        <w:rPr>
          <w:rFonts w:ascii="Times New Roman" w:eastAsiaTheme="minorEastAsia" w:hAnsi="Times New Roman"/>
          <w:bCs/>
          <w:lang w:eastAsia="ko-KR"/>
        </w:rPr>
        <w:t xml:space="preserve">needs to be viewed with caution. </w:t>
      </w:r>
    </w:p>
    <w:p w14:paraId="57AFD6C8" w14:textId="77777777" w:rsidR="000E0D83" w:rsidRDefault="000E0D83" w:rsidP="003518AB">
      <w:pPr>
        <w:ind w:firstLine="720"/>
        <w:jc w:val="both"/>
        <w:rPr>
          <w:rFonts w:eastAsiaTheme="minorEastAsia"/>
          <w:lang w:eastAsia="ko-KR"/>
        </w:rPr>
      </w:pPr>
    </w:p>
    <w:p w14:paraId="21711464" w14:textId="77777777" w:rsidR="003518AB" w:rsidRDefault="003518AB" w:rsidP="003518AB">
      <w:pPr>
        <w:rPr>
          <w:rFonts w:ascii="Times New Roman" w:hAnsi="Times New Roman"/>
          <w:b/>
          <w:bCs/>
        </w:rPr>
      </w:pPr>
    </w:p>
    <w:p w14:paraId="4DD6D30D" w14:textId="015979CF" w:rsidR="00FE4ED2" w:rsidRPr="00DB46E7" w:rsidRDefault="00FE4ED2" w:rsidP="003518AB">
      <w:pPr>
        <w:rPr>
          <w:rFonts w:ascii="Times New Roman" w:eastAsiaTheme="minorEastAsia" w:hAnsi="Times New Roman"/>
          <w:b/>
          <w:bCs/>
          <w:lang w:eastAsia="ko-KR"/>
        </w:rPr>
      </w:pPr>
      <w:r w:rsidRPr="00A02B56">
        <w:rPr>
          <w:rFonts w:ascii="Times New Roman" w:hAnsi="Times New Roman"/>
          <w:b/>
          <w:bCs/>
        </w:rPr>
        <w:lastRenderedPageBreak/>
        <w:t xml:space="preserve">Table </w:t>
      </w:r>
      <w:r w:rsidRPr="00A02B56">
        <w:rPr>
          <w:rFonts w:ascii="Times New Roman" w:hAnsi="Times New Roman"/>
          <w:b/>
          <w:bCs/>
        </w:rPr>
        <w:fldChar w:fldCharType="begin"/>
      </w:r>
      <w:r w:rsidRPr="00A02B56">
        <w:rPr>
          <w:rFonts w:ascii="Times New Roman" w:hAnsi="Times New Roman"/>
          <w:b/>
          <w:bCs/>
        </w:rPr>
        <w:instrText xml:space="preserve"> SEQ Table \* ARABIC </w:instrText>
      </w:r>
      <w:r w:rsidRPr="00A02B56">
        <w:rPr>
          <w:rFonts w:ascii="Times New Roman" w:hAnsi="Times New Roman"/>
          <w:b/>
          <w:bCs/>
        </w:rPr>
        <w:fldChar w:fldCharType="separate"/>
      </w:r>
      <w:r w:rsidR="00D440F8">
        <w:rPr>
          <w:rFonts w:ascii="Times New Roman" w:hAnsi="Times New Roman"/>
          <w:b/>
          <w:bCs/>
          <w:noProof/>
        </w:rPr>
        <w:t>1</w:t>
      </w:r>
      <w:r w:rsidRPr="00A02B56">
        <w:rPr>
          <w:rFonts w:ascii="Times New Roman" w:hAnsi="Times New Roman"/>
          <w:b/>
          <w:bCs/>
        </w:rPr>
        <w:fldChar w:fldCharType="end"/>
      </w:r>
      <w:r>
        <w:rPr>
          <w:rFonts w:ascii="Times New Roman" w:hAnsi="Times New Roman"/>
          <w:b/>
          <w:bCs/>
        </w:rPr>
        <w:t>.</w:t>
      </w:r>
      <w:r w:rsidRPr="00A02B56">
        <w:rPr>
          <w:rFonts w:ascii="Times New Roman" w:eastAsiaTheme="minorEastAsia" w:hAnsi="Times New Roman"/>
          <w:b/>
          <w:bCs/>
          <w:lang w:eastAsia="ko-KR"/>
        </w:rPr>
        <w:t xml:space="preserve"> </w:t>
      </w:r>
      <w:r>
        <w:rPr>
          <w:rFonts w:ascii="Times New Roman" w:eastAsiaTheme="minorEastAsia" w:hAnsi="Times New Roman" w:hint="eastAsia"/>
          <w:b/>
          <w:bCs/>
          <w:lang w:eastAsia="ko-KR"/>
        </w:rPr>
        <w:t xml:space="preserve">Literature on Walking </w:t>
      </w:r>
      <w:r w:rsidR="00D07F4B">
        <w:rPr>
          <w:rFonts w:ascii="Times New Roman" w:eastAsiaTheme="minorEastAsia" w:hAnsi="Times New Roman"/>
          <w:b/>
          <w:bCs/>
          <w:lang w:eastAsia="ko-KR"/>
        </w:rPr>
        <w:t>Behavior</w:t>
      </w:r>
      <w:r w:rsidR="00831A0B">
        <w:rPr>
          <w:rFonts w:ascii="Times New Roman" w:eastAsiaTheme="minorEastAsia" w:hAnsi="Times New Roman"/>
          <w:b/>
          <w:bCs/>
          <w:lang w:eastAsia="ko-KR"/>
        </w:rPr>
        <w:t xml:space="preserve"> of Older Adults</w:t>
      </w:r>
    </w:p>
    <w:tbl>
      <w:tblPr>
        <w:tblW w:w="931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146"/>
        <w:gridCol w:w="1340"/>
        <w:gridCol w:w="780"/>
        <w:gridCol w:w="658"/>
        <w:gridCol w:w="1580"/>
        <w:gridCol w:w="1860"/>
        <w:gridCol w:w="1950"/>
      </w:tblGrid>
      <w:tr w:rsidR="00BF04A1" w:rsidRPr="00BF4EDE" w14:paraId="0CF005F5" w14:textId="77777777" w:rsidTr="00BF04A1">
        <w:trPr>
          <w:trHeight w:val="346"/>
        </w:trPr>
        <w:tc>
          <w:tcPr>
            <w:tcW w:w="1147" w:type="dxa"/>
            <w:vMerge w:val="restart"/>
            <w:shd w:val="clear" w:color="auto" w:fill="auto"/>
            <w:noWrap/>
            <w:vAlign w:val="center"/>
          </w:tcPr>
          <w:p w14:paraId="7F5889FC" w14:textId="12D64B47" w:rsidR="008B126B" w:rsidRPr="00BF4EDE" w:rsidRDefault="00BF4EDE" w:rsidP="00FE7DFB">
            <w:pPr>
              <w:jc w:val="center"/>
              <w:rPr>
                <w:rFonts w:ascii="Times New Roman" w:eastAsia="Times New Roman" w:hAnsi="Times New Roman"/>
                <w:b/>
                <w:bCs/>
                <w:color w:val="000000"/>
                <w:sz w:val="22"/>
                <w:szCs w:val="22"/>
              </w:rPr>
            </w:pPr>
            <w:r w:rsidRPr="00BF4EDE">
              <w:rPr>
                <w:rFonts w:ascii="Times New Roman" w:eastAsia="Times New Roman" w:hAnsi="Times New Roman"/>
                <w:b/>
                <w:bCs/>
                <w:color w:val="000000"/>
                <w:sz w:val="22"/>
                <w:szCs w:val="22"/>
              </w:rPr>
              <w:t>Reference</w:t>
            </w:r>
          </w:p>
        </w:tc>
        <w:tc>
          <w:tcPr>
            <w:tcW w:w="1341" w:type="dxa"/>
            <w:vMerge w:val="restart"/>
            <w:shd w:val="clear" w:color="auto" w:fill="auto"/>
            <w:noWrap/>
            <w:vAlign w:val="center"/>
          </w:tcPr>
          <w:p w14:paraId="02B290FF" w14:textId="31A0FFB4" w:rsidR="008B126B" w:rsidRPr="00BF4EDE" w:rsidRDefault="00EF54CA" w:rsidP="00FE7DFB">
            <w:pPr>
              <w:jc w:val="center"/>
              <w:rPr>
                <w:rFonts w:ascii="Times New Roman" w:eastAsia="Times New Roman" w:hAnsi="Times New Roman"/>
                <w:b/>
                <w:bCs/>
                <w:color w:val="000000"/>
                <w:sz w:val="22"/>
                <w:szCs w:val="22"/>
              </w:rPr>
            </w:pPr>
            <w:r>
              <w:rPr>
                <w:rFonts w:ascii="Times New Roman" w:eastAsia="Times New Roman" w:hAnsi="Times New Roman"/>
                <w:b/>
                <w:bCs/>
                <w:color w:val="000000"/>
                <w:sz w:val="22"/>
                <w:szCs w:val="22"/>
              </w:rPr>
              <w:t xml:space="preserve">Walking </w:t>
            </w:r>
            <w:r w:rsidR="008B126B" w:rsidRPr="00BF4EDE">
              <w:rPr>
                <w:rFonts w:ascii="Times New Roman" w:eastAsia="Times New Roman" w:hAnsi="Times New Roman"/>
                <w:b/>
                <w:bCs/>
                <w:color w:val="000000"/>
                <w:sz w:val="22"/>
                <w:szCs w:val="22"/>
              </w:rPr>
              <w:t xml:space="preserve">Metric </w:t>
            </w:r>
            <w:r w:rsidR="00BF4EDE">
              <w:rPr>
                <w:rFonts w:ascii="Times New Roman" w:eastAsia="Times New Roman" w:hAnsi="Times New Roman"/>
                <w:b/>
                <w:bCs/>
                <w:color w:val="000000"/>
                <w:sz w:val="22"/>
                <w:szCs w:val="22"/>
              </w:rPr>
              <w:t>U</w:t>
            </w:r>
            <w:r w:rsidR="008B126B" w:rsidRPr="00BF4EDE">
              <w:rPr>
                <w:rFonts w:ascii="Times New Roman" w:eastAsia="Times New Roman" w:hAnsi="Times New Roman"/>
                <w:b/>
                <w:bCs/>
                <w:color w:val="000000"/>
                <w:sz w:val="22"/>
                <w:szCs w:val="22"/>
              </w:rPr>
              <w:t>sed</w:t>
            </w:r>
          </w:p>
        </w:tc>
        <w:tc>
          <w:tcPr>
            <w:tcW w:w="4876" w:type="dxa"/>
            <w:gridSpan w:val="4"/>
            <w:shd w:val="clear" w:color="auto" w:fill="auto"/>
            <w:noWrap/>
            <w:vAlign w:val="center"/>
          </w:tcPr>
          <w:p w14:paraId="17713146" w14:textId="5CF953CC" w:rsidR="008B126B" w:rsidRPr="00BF4EDE" w:rsidRDefault="008B126B" w:rsidP="00FE7DFB">
            <w:pPr>
              <w:jc w:val="center"/>
              <w:rPr>
                <w:rFonts w:ascii="Times New Roman" w:eastAsiaTheme="minorEastAsia" w:hAnsi="Times New Roman"/>
                <w:b/>
                <w:bCs/>
                <w:color w:val="000000"/>
                <w:sz w:val="22"/>
                <w:szCs w:val="22"/>
                <w:lang w:eastAsia="ko-KR"/>
              </w:rPr>
            </w:pPr>
            <w:r w:rsidRPr="00BF4EDE">
              <w:rPr>
                <w:rFonts w:ascii="Times New Roman" w:hAnsi="Times New Roman"/>
                <w:b/>
                <w:bCs/>
                <w:color w:val="000000"/>
                <w:sz w:val="22"/>
                <w:szCs w:val="22"/>
              </w:rPr>
              <w:t>Data</w:t>
            </w:r>
            <w:r w:rsidRPr="00BF4EDE">
              <w:rPr>
                <w:rFonts w:ascii="Times New Roman" w:eastAsiaTheme="minorEastAsia" w:hAnsi="Times New Roman"/>
                <w:b/>
                <w:bCs/>
                <w:color w:val="000000"/>
                <w:sz w:val="22"/>
                <w:szCs w:val="22"/>
                <w:lang w:eastAsia="ko-KR"/>
              </w:rPr>
              <w:t xml:space="preserve"> </w:t>
            </w:r>
            <w:r w:rsidR="00BF4EDE">
              <w:rPr>
                <w:rFonts w:ascii="Times New Roman" w:eastAsiaTheme="minorEastAsia" w:hAnsi="Times New Roman"/>
                <w:b/>
                <w:bCs/>
                <w:color w:val="000000"/>
                <w:sz w:val="22"/>
                <w:szCs w:val="22"/>
                <w:lang w:eastAsia="ko-KR"/>
              </w:rPr>
              <w:t>C</w:t>
            </w:r>
            <w:r w:rsidRPr="00BF4EDE">
              <w:rPr>
                <w:rFonts w:ascii="Times New Roman" w:eastAsiaTheme="minorEastAsia" w:hAnsi="Times New Roman"/>
                <w:b/>
                <w:bCs/>
                <w:color w:val="000000"/>
                <w:sz w:val="22"/>
                <w:szCs w:val="22"/>
                <w:lang w:eastAsia="ko-KR"/>
              </w:rPr>
              <w:t>haracteristics</w:t>
            </w:r>
          </w:p>
        </w:tc>
        <w:tc>
          <w:tcPr>
            <w:tcW w:w="1950" w:type="dxa"/>
            <w:vMerge w:val="restart"/>
            <w:shd w:val="clear" w:color="auto" w:fill="auto"/>
            <w:noWrap/>
            <w:vAlign w:val="center"/>
          </w:tcPr>
          <w:p w14:paraId="6F98C3EE" w14:textId="77777777" w:rsidR="008B126B" w:rsidRPr="00BF4EDE" w:rsidRDefault="008B126B" w:rsidP="00FE7DFB">
            <w:pPr>
              <w:jc w:val="center"/>
              <w:rPr>
                <w:rFonts w:ascii="Times New Roman" w:eastAsiaTheme="minorEastAsia" w:hAnsi="Times New Roman"/>
                <w:b/>
                <w:bCs/>
                <w:color w:val="000000"/>
                <w:sz w:val="22"/>
                <w:szCs w:val="22"/>
                <w:lang w:eastAsia="ko-KR"/>
              </w:rPr>
            </w:pPr>
            <w:r w:rsidRPr="00BF4EDE">
              <w:rPr>
                <w:rFonts w:ascii="Times New Roman" w:eastAsia="Times New Roman" w:hAnsi="Times New Roman"/>
                <w:b/>
                <w:bCs/>
                <w:color w:val="000000"/>
                <w:sz w:val="22"/>
                <w:szCs w:val="22"/>
              </w:rPr>
              <w:t xml:space="preserve">Main </w:t>
            </w:r>
          </w:p>
          <w:p w14:paraId="6C7C0B78" w14:textId="5897B037" w:rsidR="008B126B" w:rsidRPr="00BF4EDE" w:rsidRDefault="00BF4EDE" w:rsidP="00FE7DFB">
            <w:pPr>
              <w:jc w:val="center"/>
              <w:rPr>
                <w:rFonts w:ascii="Times New Roman" w:eastAsiaTheme="minorEastAsia" w:hAnsi="Times New Roman"/>
                <w:b/>
                <w:bCs/>
                <w:color w:val="000000"/>
                <w:sz w:val="22"/>
                <w:szCs w:val="22"/>
                <w:lang w:eastAsia="ko-KR"/>
              </w:rPr>
            </w:pPr>
            <w:r>
              <w:rPr>
                <w:rFonts w:ascii="Times New Roman" w:hAnsi="Times New Roman"/>
                <w:b/>
                <w:bCs/>
                <w:color w:val="000000"/>
                <w:sz w:val="22"/>
                <w:szCs w:val="22"/>
              </w:rPr>
              <w:t>E</w:t>
            </w:r>
            <w:r w:rsidR="008B126B" w:rsidRPr="00BF4EDE">
              <w:rPr>
                <w:rFonts w:ascii="Times New Roman" w:hAnsi="Times New Roman"/>
                <w:b/>
                <w:bCs/>
                <w:color w:val="000000"/>
                <w:sz w:val="22"/>
                <w:szCs w:val="22"/>
              </w:rPr>
              <w:t xml:space="preserve">xogenous </w:t>
            </w:r>
            <w:proofErr w:type="spellStart"/>
            <w:r>
              <w:rPr>
                <w:rFonts w:ascii="Times New Roman" w:hAnsi="Times New Roman"/>
                <w:b/>
                <w:bCs/>
                <w:color w:val="000000"/>
                <w:sz w:val="22"/>
                <w:szCs w:val="22"/>
              </w:rPr>
              <w:t>V</w:t>
            </w:r>
            <w:r w:rsidR="008B126B" w:rsidRPr="00BF4EDE">
              <w:rPr>
                <w:rFonts w:ascii="Times New Roman" w:hAnsi="Times New Roman"/>
                <w:b/>
                <w:bCs/>
                <w:color w:val="000000"/>
                <w:sz w:val="22"/>
                <w:szCs w:val="22"/>
              </w:rPr>
              <w:t>ariabl</w:t>
            </w:r>
            <w:r w:rsidR="008B126B" w:rsidRPr="00BF4EDE">
              <w:rPr>
                <w:rFonts w:ascii="Times New Roman" w:eastAsiaTheme="minorEastAsia" w:hAnsi="Times New Roman"/>
                <w:b/>
                <w:bCs/>
                <w:color w:val="000000"/>
                <w:sz w:val="22"/>
                <w:szCs w:val="22"/>
                <w:lang w:eastAsia="ko-KR"/>
              </w:rPr>
              <w:t>e</w:t>
            </w:r>
            <w:r w:rsidR="008B126B" w:rsidRPr="00BF4EDE">
              <w:rPr>
                <w:rFonts w:ascii="Times New Roman" w:eastAsiaTheme="minorEastAsia" w:hAnsi="Times New Roman"/>
                <w:b/>
                <w:bCs/>
                <w:color w:val="000000"/>
                <w:sz w:val="22"/>
                <w:szCs w:val="22"/>
                <w:vertAlign w:val="superscript"/>
                <w:lang w:eastAsia="ko-KR"/>
              </w:rPr>
              <w:t>c</w:t>
            </w:r>
            <w:proofErr w:type="spellEnd"/>
          </w:p>
        </w:tc>
      </w:tr>
      <w:tr w:rsidR="0091212F" w:rsidRPr="00BF4EDE" w14:paraId="1179D131" w14:textId="77777777" w:rsidTr="00BF04A1">
        <w:trPr>
          <w:trHeight w:val="346"/>
        </w:trPr>
        <w:tc>
          <w:tcPr>
            <w:tcW w:w="1147" w:type="dxa"/>
            <w:vMerge/>
            <w:shd w:val="clear" w:color="auto" w:fill="auto"/>
            <w:noWrap/>
            <w:vAlign w:val="center"/>
            <w:hideMark/>
          </w:tcPr>
          <w:p w14:paraId="0C99E216" w14:textId="77777777" w:rsidR="008B126B" w:rsidRPr="00CB0AF7" w:rsidRDefault="008B126B" w:rsidP="00FE7DFB">
            <w:pPr>
              <w:jc w:val="center"/>
              <w:rPr>
                <w:rFonts w:ascii="Times New Roman" w:eastAsia="Times New Roman" w:hAnsi="Times New Roman"/>
                <w:color w:val="000000"/>
                <w:sz w:val="22"/>
                <w:szCs w:val="22"/>
              </w:rPr>
            </w:pPr>
          </w:p>
        </w:tc>
        <w:tc>
          <w:tcPr>
            <w:tcW w:w="1341" w:type="dxa"/>
            <w:vMerge/>
            <w:shd w:val="clear" w:color="auto" w:fill="auto"/>
            <w:noWrap/>
            <w:vAlign w:val="center"/>
            <w:hideMark/>
          </w:tcPr>
          <w:p w14:paraId="068318CC" w14:textId="77777777" w:rsidR="008B126B" w:rsidRPr="00CB0AF7" w:rsidRDefault="008B126B" w:rsidP="00FE7DFB">
            <w:pPr>
              <w:jc w:val="center"/>
              <w:rPr>
                <w:rFonts w:ascii="Times New Roman" w:eastAsia="Times New Roman" w:hAnsi="Times New Roman"/>
                <w:color w:val="000000"/>
                <w:sz w:val="22"/>
                <w:szCs w:val="22"/>
              </w:rPr>
            </w:pPr>
          </w:p>
        </w:tc>
        <w:tc>
          <w:tcPr>
            <w:tcW w:w="780" w:type="dxa"/>
            <w:shd w:val="clear" w:color="auto" w:fill="auto"/>
            <w:noWrap/>
            <w:vAlign w:val="center"/>
            <w:hideMark/>
          </w:tcPr>
          <w:p w14:paraId="6E5B0EEE" w14:textId="0CC69CB4" w:rsidR="008B126B" w:rsidRPr="00CB0AF7" w:rsidRDefault="008B126B" w:rsidP="00FE7DFB">
            <w:pPr>
              <w:jc w:val="center"/>
              <w:rPr>
                <w:rFonts w:ascii="Times New Roman" w:eastAsiaTheme="minorEastAsia" w:hAnsi="Times New Roman"/>
                <w:b/>
                <w:bCs/>
                <w:color w:val="000000"/>
                <w:sz w:val="22"/>
                <w:szCs w:val="22"/>
                <w:lang w:eastAsia="ko-KR"/>
              </w:rPr>
            </w:pPr>
            <w:proofErr w:type="spellStart"/>
            <w:r w:rsidRPr="00CB0AF7">
              <w:rPr>
                <w:rFonts w:ascii="Times New Roman" w:hAnsi="Times New Roman"/>
                <w:b/>
                <w:bCs/>
                <w:color w:val="000000"/>
                <w:sz w:val="22"/>
                <w:szCs w:val="22"/>
              </w:rPr>
              <w:t>Type</w:t>
            </w:r>
            <w:r w:rsidRPr="00CB0AF7">
              <w:rPr>
                <w:rFonts w:ascii="Times New Roman" w:eastAsiaTheme="minorEastAsia" w:hAnsi="Times New Roman"/>
                <w:color w:val="000000"/>
                <w:sz w:val="22"/>
                <w:szCs w:val="22"/>
                <w:vertAlign w:val="superscript"/>
                <w:lang w:eastAsia="ko-KR"/>
              </w:rPr>
              <w:t>b</w:t>
            </w:r>
            <w:proofErr w:type="spellEnd"/>
          </w:p>
        </w:tc>
        <w:tc>
          <w:tcPr>
            <w:tcW w:w="656" w:type="dxa"/>
            <w:vAlign w:val="center"/>
          </w:tcPr>
          <w:p w14:paraId="3658A73A" w14:textId="77777777" w:rsidR="008B126B" w:rsidRPr="00CB0AF7" w:rsidRDefault="008B126B" w:rsidP="00FE7DFB">
            <w:pPr>
              <w:jc w:val="center"/>
              <w:rPr>
                <w:rFonts w:ascii="Times New Roman" w:eastAsiaTheme="minorEastAsia" w:hAnsi="Times New Roman"/>
                <w:b/>
                <w:bCs/>
                <w:color w:val="000000"/>
                <w:sz w:val="22"/>
                <w:szCs w:val="22"/>
              </w:rPr>
            </w:pPr>
            <w:r w:rsidRPr="00CB0AF7">
              <w:rPr>
                <w:rFonts w:ascii="Times New Roman" w:hAnsi="Times New Roman"/>
                <w:b/>
                <w:bCs/>
                <w:color w:val="000000"/>
                <w:sz w:val="22"/>
                <w:szCs w:val="22"/>
              </w:rPr>
              <w:t>Year</w:t>
            </w:r>
          </w:p>
        </w:tc>
        <w:tc>
          <w:tcPr>
            <w:tcW w:w="1580" w:type="dxa"/>
            <w:shd w:val="clear" w:color="auto" w:fill="auto"/>
            <w:noWrap/>
            <w:vAlign w:val="center"/>
            <w:hideMark/>
          </w:tcPr>
          <w:p w14:paraId="02142761" w14:textId="77777777" w:rsidR="008B126B" w:rsidRPr="00CB0AF7" w:rsidRDefault="008B126B" w:rsidP="00FE7DFB">
            <w:pPr>
              <w:jc w:val="center"/>
              <w:rPr>
                <w:rFonts w:ascii="Times New Roman" w:eastAsia="Times New Roman" w:hAnsi="Times New Roman"/>
                <w:b/>
                <w:bCs/>
                <w:color w:val="000000"/>
                <w:sz w:val="22"/>
                <w:szCs w:val="22"/>
              </w:rPr>
            </w:pPr>
            <w:r w:rsidRPr="00CB0AF7">
              <w:rPr>
                <w:rFonts w:ascii="Times New Roman" w:eastAsia="Times New Roman" w:hAnsi="Times New Roman"/>
                <w:b/>
                <w:bCs/>
                <w:color w:val="000000"/>
                <w:sz w:val="22"/>
                <w:szCs w:val="22"/>
              </w:rPr>
              <w:t>Region</w:t>
            </w:r>
          </w:p>
        </w:tc>
        <w:tc>
          <w:tcPr>
            <w:tcW w:w="1860" w:type="dxa"/>
            <w:shd w:val="clear" w:color="auto" w:fill="auto"/>
            <w:noWrap/>
            <w:vAlign w:val="center"/>
            <w:hideMark/>
          </w:tcPr>
          <w:p w14:paraId="5A375668" w14:textId="51F60980" w:rsidR="008B126B" w:rsidRPr="00CB0AF7" w:rsidRDefault="00F75CDE" w:rsidP="00FE7DFB">
            <w:pPr>
              <w:jc w:val="center"/>
              <w:rPr>
                <w:rFonts w:ascii="Times New Roman" w:eastAsiaTheme="minorEastAsia" w:hAnsi="Times New Roman"/>
                <w:b/>
                <w:bCs/>
                <w:color w:val="000000"/>
                <w:sz w:val="22"/>
                <w:szCs w:val="22"/>
              </w:rPr>
            </w:pPr>
            <w:r>
              <w:rPr>
                <w:rFonts w:ascii="Times New Roman" w:hAnsi="Times New Roman"/>
                <w:b/>
                <w:bCs/>
                <w:color w:val="000000"/>
                <w:sz w:val="22"/>
                <w:szCs w:val="22"/>
              </w:rPr>
              <w:t>Considers Companionship?</w:t>
            </w:r>
          </w:p>
        </w:tc>
        <w:tc>
          <w:tcPr>
            <w:tcW w:w="1950" w:type="dxa"/>
            <w:vMerge/>
            <w:shd w:val="clear" w:color="auto" w:fill="auto"/>
            <w:noWrap/>
            <w:vAlign w:val="center"/>
            <w:hideMark/>
          </w:tcPr>
          <w:p w14:paraId="17FAA708" w14:textId="77777777" w:rsidR="008B126B" w:rsidRPr="00CB0AF7" w:rsidRDefault="008B126B" w:rsidP="00FE7DFB">
            <w:pPr>
              <w:jc w:val="center"/>
              <w:rPr>
                <w:rFonts w:ascii="Times New Roman" w:eastAsiaTheme="minorEastAsia" w:hAnsi="Times New Roman"/>
                <w:color w:val="000000"/>
                <w:sz w:val="22"/>
                <w:szCs w:val="22"/>
              </w:rPr>
            </w:pPr>
          </w:p>
        </w:tc>
      </w:tr>
      <w:tr w:rsidR="0091212F" w:rsidRPr="00BF4EDE" w14:paraId="11E69072" w14:textId="77777777" w:rsidTr="00BF04A1">
        <w:trPr>
          <w:trHeight w:val="346"/>
        </w:trPr>
        <w:tc>
          <w:tcPr>
            <w:tcW w:w="1147" w:type="dxa"/>
            <w:shd w:val="clear" w:color="auto" w:fill="auto"/>
            <w:noWrap/>
            <w:vAlign w:val="center"/>
            <w:hideMark/>
          </w:tcPr>
          <w:p w14:paraId="4FF9424C" w14:textId="77777777" w:rsidR="008B126B" w:rsidRPr="00BF4EDE" w:rsidRDefault="008B126B" w:rsidP="00FE7DFB">
            <w:pPr>
              <w:jc w:val="center"/>
              <w:rPr>
                <w:rFonts w:ascii="Times New Roman" w:eastAsia="Times New Roman" w:hAnsi="Times New Roman"/>
                <w:color w:val="000000"/>
                <w:sz w:val="22"/>
                <w:szCs w:val="22"/>
              </w:rPr>
            </w:pPr>
            <w:r w:rsidRPr="00BF4EDE">
              <w:rPr>
                <w:rFonts w:ascii="Times New Roman" w:eastAsia="Times New Roman" w:hAnsi="Times New Roman"/>
                <w:color w:val="000000"/>
                <w:sz w:val="22"/>
                <w:szCs w:val="22"/>
              </w:rPr>
              <w:t>Nagel et al. (2008)</w:t>
            </w:r>
          </w:p>
        </w:tc>
        <w:tc>
          <w:tcPr>
            <w:tcW w:w="1341" w:type="dxa"/>
            <w:shd w:val="clear" w:color="auto" w:fill="auto"/>
            <w:noWrap/>
            <w:vAlign w:val="center"/>
            <w:hideMark/>
          </w:tcPr>
          <w:p w14:paraId="28712C5C" w14:textId="79EDB9CD" w:rsidR="008B126B" w:rsidRPr="00BF4EDE" w:rsidRDefault="00EF54CA" w:rsidP="00FE7DFB">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Weekly</w:t>
            </w:r>
            <w:r w:rsidR="008B126B" w:rsidRPr="00BF4EDE">
              <w:rPr>
                <w:rFonts w:ascii="Times New Roman" w:eastAsia="Times New Roman" w:hAnsi="Times New Roman"/>
                <w:color w:val="000000"/>
                <w:sz w:val="22"/>
                <w:szCs w:val="22"/>
              </w:rPr>
              <w:t xml:space="preserve"> duration</w:t>
            </w:r>
          </w:p>
        </w:tc>
        <w:tc>
          <w:tcPr>
            <w:tcW w:w="780" w:type="dxa"/>
            <w:shd w:val="clear" w:color="auto" w:fill="auto"/>
            <w:noWrap/>
            <w:vAlign w:val="center"/>
            <w:hideMark/>
          </w:tcPr>
          <w:p w14:paraId="18BF9B98" w14:textId="77777777" w:rsidR="008B126B" w:rsidRPr="00BF4EDE" w:rsidRDefault="008B126B" w:rsidP="00FE7DFB">
            <w:pPr>
              <w:jc w:val="center"/>
              <w:rPr>
                <w:rFonts w:ascii="Times New Roman" w:eastAsiaTheme="minorEastAsia" w:hAnsi="Times New Roman"/>
                <w:color w:val="000000"/>
                <w:sz w:val="22"/>
                <w:szCs w:val="22"/>
              </w:rPr>
            </w:pPr>
            <w:r w:rsidRPr="00BF4EDE">
              <w:rPr>
                <w:rFonts w:ascii="Times New Roman" w:hAnsi="Times New Roman"/>
                <w:color w:val="000000"/>
                <w:sz w:val="22"/>
                <w:szCs w:val="22"/>
              </w:rPr>
              <w:t>RP</w:t>
            </w:r>
          </w:p>
        </w:tc>
        <w:tc>
          <w:tcPr>
            <w:tcW w:w="656" w:type="dxa"/>
            <w:vAlign w:val="center"/>
          </w:tcPr>
          <w:p w14:paraId="09C0C55A" w14:textId="77777777" w:rsidR="008B126B" w:rsidRPr="00BF4EDE" w:rsidRDefault="008B126B" w:rsidP="00FE7DFB">
            <w:pPr>
              <w:jc w:val="center"/>
              <w:rPr>
                <w:rFonts w:ascii="Times New Roman" w:eastAsiaTheme="minorEastAsia" w:hAnsi="Times New Roman"/>
                <w:color w:val="000000"/>
                <w:sz w:val="22"/>
                <w:szCs w:val="22"/>
              </w:rPr>
            </w:pPr>
            <w:r w:rsidRPr="00BF4EDE">
              <w:rPr>
                <w:rFonts w:ascii="Times New Roman" w:hAnsi="Times New Roman"/>
                <w:color w:val="000000"/>
                <w:sz w:val="22"/>
                <w:szCs w:val="22"/>
              </w:rPr>
              <w:t>2001</w:t>
            </w:r>
          </w:p>
        </w:tc>
        <w:tc>
          <w:tcPr>
            <w:tcW w:w="1580" w:type="dxa"/>
            <w:shd w:val="clear" w:color="auto" w:fill="auto"/>
            <w:noWrap/>
            <w:vAlign w:val="center"/>
            <w:hideMark/>
          </w:tcPr>
          <w:p w14:paraId="435FCAD6" w14:textId="77777777" w:rsidR="008B126B" w:rsidRPr="00BF4EDE" w:rsidRDefault="008B126B" w:rsidP="00FE7DFB">
            <w:pPr>
              <w:jc w:val="center"/>
              <w:rPr>
                <w:rFonts w:ascii="Times New Roman" w:eastAsia="Times New Roman" w:hAnsi="Times New Roman"/>
                <w:color w:val="000000"/>
                <w:sz w:val="22"/>
                <w:szCs w:val="22"/>
              </w:rPr>
            </w:pPr>
            <w:r w:rsidRPr="00BF4EDE">
              <w:rPr>
                <w:rFonts w:ascii="Times New Roman" w:eastAsia="Times New Roman" w:hAnsi="Times New Roman"/>
                <w:color w:val="000000"/>
                <w:sz w:val="22"/>
                <w:szCs w:val="22"/>
              </w:rPr>
              <w:t>Portland, U.S.</w:t>
            </w:r>
          </w:p>
        </w:tc>
        <w:tc>
          <w:tcPr>
            <w:tcW w:w="1860" w:type="dxa"/>
            <w:shd w:val="clear" w:color="auto" w:fill="auto"/>
            <w:noWrap/>
            <w:vAlign w:val="center"/>
            <w:hideMark/>
          </w:tcPr>
          <w:p w14:paraId="4CF555F9" w14:textId="2FFDDA6B" w:rsidR="008B126B" w:rsidRPr="00BF4EDE" w:rsidRDefault="00F75CDE" w:rsidP="00FE7DFB">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No</w:t>
            </w:r>
          </w:p>
        </w:tc>
        <w:tc>
          <w:tcPr>
            <w:tcW w:w="1950" w:type="dxa"/>
            <w:shd w:val="clear" w:color="auto" w:fill="auto"/>
            <w:noWrap/>
            <w:vAlign w:val="center"/>
            <w:hideMark/>
          </w:tcPr>
          <w:p w14:paraId="7AF01050" w14:textId="71817C30" w:rsidR="008B126B" w:rsidRPr="00BF4EDE" w:rsidRDefault="008B126B" w:rsidP="00FE7DFB">
            <w:pPr>
              <w:jc w:val="center"/>
              <w:rPr>
                <w:rFonts w:ascii="Times New Roman" w:eastAsia="Times New Roman" w:hAnsi="Times New Roman"/>
                <w:color w:val="000000"/>
                <w:sz w:val="22"/>
                <w:szCs w:val="22"/>
              </w:rPr>
            </w:pPr>
            <w:r w:rsidRPr="00BF4EDE">
              <w:rPr>
                <w:rFonts w:ascii="Times New Roman" w:eastAsia="Times New Roman" w:hAnsi="Times New Roman"/>
                <w:color w:val="000000"/>
                <w:sz w:val="22"/>
                <w:szCs w:val="22"/>
              </w:rPr>
              <w:t>BE</w:t>
            </w:r>
            <w:r w:rsidR="00F75CDE">
              <w:rPr>
                <w:rFonts w:ascii="Times New Roman" w:eastAsia="Times New Roman" w:hAnsi="Times New Roman"/>
                <w:color w:val="000000"/>
                <w:sz w:val="22"/>
                <w:szCs w:val="22"/>
              </w:rPr>
              <w:t xml:space="preserve"> (objective)</w:t>
            </w:r>
          </w:p>
        </w:tc>
      </w:tr>
      <w:tr w:rsidR="0091212F" w:rsidRPr="00BF4EDE" w14:paraId="79FE5511" w14:textId="77777777" w:rsidTr="00BF04A1">
        <w:trPr>
          <w:trHeight w:val="346"/>
        </w:trPr>
        <w:tc>
          <w:tcPr>
            <w:tcW w:w="1147" w:type="dxa"/>
            <w:shd w:val="clear" w:color="auto" w:fill="auto"/>
            <w:noWrap/>
            <w:vAlign w:val="center"/>
          </w:tcPr>
          <w:p w14:paraId="3A347C02" w14:textId="3A3D49D9" w:rsidR="00EF54CA" w:rsidRPr="00BF4EDE" w:rsidRDefault="00EF54CA" w:rsidP="00941028">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Cerin et al. (2013)</w:t>
            </w:r>
          </w:p>
        </w:tc>
        <w:tc>
          <w:tcPr>
            <w:tcW w:w="1341" w:type="dxa"/>
            <w:shd w:val="clear" w:color="auto" w:fill="auto"/>
            <w:noWrap/>
            <w:vAlign w:val="center"/>
          </w:tcPr>
          <w:p w14:paraId="0A8638B7" w14:textId="431A6FFE" w:rsidR="00EF54CA" w:rsidRPr="00BF4EDE" w:rsidRDefault="00EF54CA" w:rsidP="00941028">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Weekly Duration</w:t>
            </w:r>
          </w:p>
        </w:tc>
        <w:tc>
          <w:tcPr>
            <w:tcW w:w="780" w:type="dxa"/>
            <w:shd w:val="clear" w:color="auto" w:fill="auto"/>
            <w:noWrap/>
            <w:vAlign w:val="center"/>
          </w:tcPr>
          <w:p w14:paraId="5A3A6BBE" w14:textId="0E9063C4" w:rsidR="00EF54CA" w:rsidRPr="00BF4EDE" w:rsidRDefault="00EF54CA" w:rsidP="00941028">
            <w:pPr>
              <w:jc w:val="center"/>
              <w:rPr>
                <w:rFonts w:ascii="Times New Roman" w:hAnsi="Times New Roman"/>
                <w:color w:val="000000"/>
                <w:sz w:val="22"/>
                <w:szCs w:val="22"/>
              </w:rPr>
            </w:pPr>
            <w:r>
              <w:rPr>
                <w:rFonts w:ascii="Times New Roman" w:hAnsi="Times New Roman"/>
                <w:color w:val="000000"/>
                <w:sz w:val="22"/>
                <w:szCs w:val="22"/>
              </w:rPr>
              <w:t>RP</w:t>
            </w:r>
          </w:p>
        </w:tc>
        <w:tc>
          <w:tcPr>
            <w:tcW w:w="656" w:type="dxa"/>
            <w:vAlign w:val="center"/>
          </w:tcPr>
          <w:p w14:paraId="0E4438C2" w14:textId="3CDD509C" w:rsidR="00EF54CA" w:rsidRPr="008B6DF1" w:rsidRDefault="008B6DF1" w:rsidP="00941028">
            <w:pPr>
              <w:jc w:val="center"/>
              <w:rPr>
                <w:rFonts w:ascii="Times New Roman" w:eastAsiaTheme="minorEastAsia" w:hAnsi="Times New Roman"/>
                <w:color w:val="000000"/>
                <w:sz w:val="22"/>
                <w:szCs w:val="22"/>
                <w:lang w:eastAsia="ko-KR"/>
              </w:rPr>
            </w:pPr>
            <w:r>
              <w:rPr>
                <w:rFonts w:ascii="Times New Roman" w:eastAsiaTheme="minorEastAsia" w:hAnsi="Times New Roman" w:hint="eastAsia"/>
                <w:color w:val="000000"/>
                <w:sz w:val="22"/>
                <w:szCs w:val="22"/>
                <w:lang w:eastAsia="ko-KR"/>
              </w:rPr>
              <w:t>2007-2008</w:t>
            </w:r>
          </w:p>
        </w:tc>
        <w:tc>
          <w:tcPr>
            <w:tcW w:w="1580" w:type="dxa"/>
            <w:shd w:val="clear" w:color="auto" w:fill="auto"/>
            <w:noWrap/>
            <w:vAlign w:val="center"/>
          </w:tcPr>
          <w:p w14:paraId="6A42310F" w14:textId="6867A110" w:rsidR="00EF54CA" w:rsidRPr="00BF4EDE" w:rsidRDefault="00EF54CA" w:rsidP="00941028">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Hong Kong, China</w:t>
            </w:r>
          </w:p>
        </w:tc>
        <w:tc>
          <w:tcPr>
            <w:tcW w:w="1860" w:type="dxa"/>
            <w:shd w:val="clear" w:color="auto" w:fill="auto"/>
            <w:noWrap/>
            <w:vAlign w:val="center"/>
          </w:tcPr>
          <w:p w14:paraId="0860EA57" w14:textId="14B28C9B" w:rsidR="00EF54CA" w:rsidRPr="00BF4EDE" w:rsidRDefault="00F75CDE" w:rsidP="00941028">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No</w:t>
            </w:r>
          </w:p>
        </w:tc>
        <w:tc>
          <w:tcPr>
            <w:tcW w:w="1950" w:type="dxa"/>
            <w:shd w:val="clear" w:color="auto" w:fill="auto"/>
            <w:noWrap/>
            <w:vAlign w:val="center"/>
          </w:tcPr>
          <w:p w14:paraId="090AAF93" w14:textId="5D48EBF8" w:rsidR="00EF54CA" w:rsidRPr="00BF4EDE" w:rsidRDefault="00EF54CA" w:rsidP="00941028">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BE (perceived)</w:t>
            </w:r>
          </w:p>
        </w:tc>
      </w:tr>
      <w:tr w:rsidR="0091212F" w:rsidRPr="00BF4EDE" w14:paraId="5233B585" w14:textId="77777777" w:rsidTr="00BF04A1">
        <w:trPr>
          <w:trHeight w:val="346"/>
        </w:trPr>
        <w:tc>
          <w:tcPr>
            <w:tcW w:w="1147" w:type="dxa"/>
            <w:shd w:val="clear" w:color="auto" w:fill="auto"/>
            <w:noWrap/>
            <w:vAlign w:val="center"/>
            <w:hideMark/>
          </w:tcPr>
          <w:p w14:paraId="0250B18B" w14:textId="77777777" w:rsidR="008B126B" w:rsidRPr="00BF4EDE" w:rsidRDefault="008B126B" w:rsidP="00941028">
            <w:pPr>
              <w:jc w:val="center"/>
              <w:rPr>
                <w:rFonts w:ascii="Times New Roman" w:eastAsia="Times New Roman" w:hAnsi="Times New Roman"/>
                <w:color w:val="000000"/>
                <w:sz w:val="22"/>
                <w:szCs w:val="22"/>
              </w:rPr>
            </w:pPr>
            <w:proofErr w:type="spellStart"/>
            <w:r w:rsidRPr="00BF4EDE">
              <w:rPr>
                <w:rFonts w:ascii="Times New Roman" w:eastAsia="Times New Roman" w:hAnsi="Times New Roman"/>
                <w:color w:val="000000"/>
                <w:sz w:val="22"/>
                <w:szCs w:val="22"/>
              </w:rPr>
              <w:t>Giehl</w:t>
            </w:r>
            <w:proofErr w:type="spellEnd"/>
            <w:r w:rsidRPr="00BF4EDE">
              <w:rPr>
                <w:rFonts w:ascii="Times New Roman" w:eastAsia="Times New Roman" w:hAnsi="Times New Roman"/>
                <w:color w:val="000000"/>
                <w:sz w:val="22"/>
                <w:szCs w:val="22"/>
              </w:rPr>
              <w:t xml:space="preserve"> et al. (2016)</w:t>
            </w:r>
          </w:p>
        </w:tc>
        <w:tc>
          <w:tcPr>
            <w:tcW w:w="1341" w:type="dxa"/>
            <w:shd w:val="clear" w:color="auto" w:fill="auto"/>
            <w:noWrap/>
            <w:vAlign w:val="center"/>
            <w:hideMark/>
          </w:tcPr>
          <w:p w14:paraId="6CB7E35B" w14:textId="1B77BAA4" w:rsidR="008B126B" w:rsidRPr="00BF4EDE" w:rsidRDefault="0091212F" w:rsidP="00941028">
            <w:pPr>
              <w:jc w:val="center"/>
              <w:rPr>
                <w:rFonts w:ascii="Times New Roman" w:eastAsia="Times New Roman" w:hAnsi="Times New Roman"/>
                <w:color w:val="000000"/>
                <w:sz w:val="22"/>
                <w:szCs w:val="22"/>
              </w:rPr>
            </w:pPr>
            <w:proofErr w:type="spellStart"/>
            <w:r>
              <w:rPr>
                <w:rFonts w:ascii="Times New Roman" w:eastAsia="Times New Roman" w:hAnsi="Times New Roman"/>
                <w:color w:val="000000"/>
                <w:sz w:val="22"/>
                <w:szCs w:val="22"/>
              </w:rPr>
              <w:t>Binary</w:t>
            </w:r>
            <w:r w:rsidR="00AB3EAC" w:rsidRPr="0035206B">
              <w:rPr>
                <w:rFonts w:ascii="Times New Roman" w:eastAsia="Times New Roman" w:hAnsi="Times New Roman"/>
                <w:color w:val="000000"/>
                <w:sz w:val="22"/>
                <w:szCs w:val="22"/>
                <w:vertAlign w:val="superscript"/>
              </w:rPr>
              <w:t>d</w:t>
            </w:r>
            <w:proofErr w:type="spellEnd"/>
            <w:r>
              <w:rPr>
                <w:rFonts w:ascii="Times New Roman" w:eastAsia="Times New Roman" w:hAnsi="Times New Roman"/>
                <w:color w:val="000000"/>
                <w:sz w:val="22"/>
                <w:szCs w:val="22"/>
              </w:rPr>
              <w:t xml:space="preserve"> </w:t>
            </w:r>
          </w:p>
        </w:tc>
        <w:tc>
          <w:tcPr>
            <w:tcW w:w="780" w:type="dxa"/>
            <w:shd w:val="clear" w:color="auto" w:fill="auto"/>
            <w:noWrap/>
            <w:vAlign w:val="center"/>
            <w:hideMark/>
          </w:tcPr>
          <w:p w14:paraId="659A0D4C" w14:textId="77777777" w:rsidR="008B126B" w:rsidRPr="00BF4EDE" w:rsidRDefault="008B126B" w:rsidP="00941028">
            <w:pPr>
              <w:jc w:val="center"/>
              <w:rPr>
                <w:rFonts w:ascii="Times New Roman" w:eastAsiaTheme="minorEastAsia" w:hAnsi="Times New Roman"/>
                <w:color w:val="000000"/>
                <w:sz w:val="22"/>
                <w:szCs w:val="22"/>
              </w:rPr>
            </w:pPr>
            <w:r w:rsidRPr="00BF4EDE">
              <w:rPr>
                <w:rFonts w:ascii="Times New Roman" w:hAnsi="Times New Roman"/>
                <w:color w:val="000000"/>
                <w:sz w:val="22"/>
                <w:szCs w:val="22"/>
              </w:rPr>
              <w:t>RP</w:t>
            </w:r>
          </w:p>
        </w:tc>
        <w:tc>
          <w:tcPr>
            <w:tcW w:w="656" w:type="dxa"/>
            <w:vAlign w:val="center"/>
          </w:tcPr>
          <w:p w14:paraId="61FD1B76" w14:textId="77777777" w:rsidR="008B126B" w:rsidRPr="00BF4EDE" w:rsidRDefault="008B126B" w:rsidP="00941028">
            <w:pPr>
              <w:jc w:val="center"/>
              <w:rPr>
                <w:rFonts w:ascii="Times New Roman" w:eastAsiaTheme="minorEastAsia" w:hAnsi="Times New Roman"/>
                <w:color w:val="000000"/>
                <w:sz w:val="22"/>
                <w:szCs w:val="22"/>
              </w:rPr>
            </w:pPr>
            <w:r w:rsidRPr="00BF4EDE">
              <w:rPr>
                <w:rFonts w:ascii="Times New Roman" w:hAnsi="Times New Roman"/>
                <w:color w:val="000000"/>
                <w:sz w:val="22"/>
                <w:szCs w:val="22"/>
              </w:rPr>
              <w:t>2009-2010</w:t>
            </w:r>
          </w:p>
        </w:tc>
        <w:tc>
          <w:tcPr>
            <w:tcW w:w="1580" w:type="dxa"/>
            <w:shd w:val="clear" w:color="auto" w:fill="auto"/>
            <w:noWrap/>
            <w:vAlign w:val="center"/>
            <w:hideMark/>
          </w:tcPr>
          <w:p w14:paraId="46136B90" w14:textId="1757EE55" w:rsidR="008B126B" w:rsidRPr="00BF4EDE" w:rsidRDefault="008B126B" w:rsidP="00941028">
            <w:pPr>
              <w:jc w:val="center"/>
              <w:rPr>
                <w:rFonts w:ascii="Times New Roman" w:eastAsia="Times New Roman" w:hAnsi="Times New Roman"/>
                <w:color w:val="000000"/>
                <w:sz w:val="22"/>
                <w:szCs w:val="22"/>
              </w:rPr>
            </w:pPr>
            <w:r w:rsidRPr="00BF4EDE">
              <w:rPr>
                <w:rFonts w:ascii="Times New Roman" w:eastAsia="Times New Roman" w:hAnsi="Times New Roman"/>
                <w:color w:val="000000"/>
                <w:sz w:val="22"/>
                <w:szCs w:val="22"/>
              </w:rPr>
              <w:t>Florian</w:t>
            </w:r>
            <w:r w:rsidRPr="00BF4EDE">
              <w:rPr>
                <w:rFonts w:ascii="Times New Roman" w:eastAsiaTheme="minorEastAsia" w:hAnsi="Times New Roman"/>
                <w:color w:val="000000"/>
                <w:sz w:val="22"/>
                <w:szCs w:val="22"/>
                <w:lang w:eastAsia="ko-KR"/>
              </w:rPr>
              <w:t>o</w:t>
            </w:r>
            <w:r w:rsidRPr="00BF4EDE">
              <w:rPr>
                <w:rFonts w:ascii="Times New Roman" w:eastAsia="Times New Roman" w:hAnsi="Times New Roman"/>
                <w:color w:val="000000"/>
                <w:sz w:val="22"/>
                <w:szCs w:val="22"/>
              </w:rPr>
              <w:t>polis, Brazil</w:t>
            </w:r>
          </w:p>
        </w:tc>
        <w:tc>
          <w:tcPr>
            <w:tcW w:w="1860" w:type="dxa"/>
            <w:shd w:val="clear" w:color="auto" w:fill="auto"/>
            <w:noWrap/>
            <w:vAlign w:val="center"/>
            <w:hideMark/>
          </w:tcPr>
          <w:p w14:paraId="72124A27" w14:textId="3C6DF4A3" w:rsidR="008B126B" w:rsidRPr="00BF4EDE" w:rsidRDefault="00F75CDE" w:rsidP="00941028">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No</w:t>
            </w:r>
          </w:p>
        </w:tc>
        <w:tc>
          <w:tcPr>
            <w:tcW w:w="1950" w:type="dxa"/>
            <w:shd w:val="clear" w:color="auto" w:fill="auto"/>
            <w:noWrap/>
            <w:vAlign w:val="center"/>
            <w:hideMark/>
          </w:tcPr>
          <w:p w14:paraId="42B3A803" w14:textId="68827492" w:rsidR="008B126B" w:rsidRPr="00BF4EDE" w:rsidRDefault="008B126B" w:rsidP="00941028">
            <w:pPr>
              <w:jc w:val="center"/>
              <w:rPr>
                <w:rFonts w:ascii="Times New Roman" w:eastAsia="Times New Roman" w:hAnsi="Times New Roman"/>
                <w:color w:val="000000"/>
                <w:sz w:val="22"/>
                <w:szCs w:val="22"/>
              </w:rPr>
            </w:pPr>
            <w:r w:rsidRPr="00BF4EDE">
              <w:rPr>
                <w:rFonts w:ascii="Times New Roman" w:eastAsia="Times New Roman" w:hAnsi="Times New Roman"/>
                <w:color w:val="000000"/>
                <w:sz w:val="22"/>
                <w:szCs w:val="22"/>
              </w:rPr>
              <w:t>BE</w:t>
            </w:r>
            <w:r w:rsidR="00F75CDE">
              <w:rPr>
                <w:rFonts w:ascii="Times New Roman" w:eastAsia="Times New Roman" w:hAnsi="Times New Roman"/>
                <w:color w:val="000000"/>
                <w:sz w:val="22"/>
                <w:szCs w:val="22"/>
              </w:rPr>
              <w:t xml:space="preserve"> (objective)</w:t>
            </w:r>
          </w:p>
        </w:tc>
      </w:tr>
      <w:tr w:rsidR="0091212F" w:rsidRPr="00BF4EDE" w14:paraId="5C4D4CC8" w14:textId="77777777" w:rsidTr="00BF04A1">
        <w:trPr>
          <w:trHeight w:val="346"/>
        </w:trPr>
        <w:tc>
          <w:tcPr>
            <w:tcW w:w="1147" w:type="dxa"/>
            <w:shd w:val="clear" w:color="auto" w:fill="auto"/>
            <w:noWrap/>
            <w:vAlign w:val="center"/>
            <w:hideMark/>
          </w:tcPr>
          <w:p w14:paraId="521B298F" w14:textId="77777777" w:rsidR="008B126B" w:rsidRPr="00BF4EDE" w:rsidRDefault="008B126B" w:rsidP="00941028">
            <w:pPr>
              <w:jc w:val="center"/>
              <w:rPr>
                <w:rFonts w:ascii="Times New Roman" w:eastAsia="Times New Roman" w:hAnsi="Times New Roman"/>
                <w:color w:val="000000"/>
                <w:sz w:val="22"/>
                <w:szCs w:val="22"/>
              </w:rPr>
            </w:pPr>
            <w:r w:rsidRPr="00BF4EDE">
              <w:rPr>
                <w:rFonts w:ascii="Times New Roman" w:eastAsia="Times New Roman" w:hAnsi="Times New Roman"/>
                <w:color w:val="000000"/>
                <w:sz w:val="22"/>
                <w:szCs w:val="22"/>
              </w:rPr>
              <w:t>Maisel (2016)</w:t>
            </w:r>
          </w:p>
        </w:tc>
        <w:tc>
          <w:tcPr>
            <w:tcW w:w="1341" w:type="dxa"/>
            <w:shd w:val="clear" w:color="auto" w:fill="auto"/>
            <w:noWrap/>
            <w:vAlign w:val="center"/>
            <w:hideMark/>
          </w:tcPr>
          <w:p w14:paraId="77163DB8" w14:textId="614EE176" w:rsidR="008B126B" w:rsidRPr="00BF4EDE" w:rsidRDefault="00EF54CA" w:rsidP="00941028">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Weekly </w:t>
            </w:r>
            <w:r w:rsidR="008B126B" w:rsidRPr="00BF4EDE">
              <w:rPr>
                <w:rFonts w:ascii="Times New Roman" w:eastAsia="Times New Roman" w:hAnsi="Times New Roman"/>
                <w:color w:val="000000"/>
                <w:sz w:val="22"/>
                <w:szCs w:val="22"/>
              </w:rPr>
              <w:t>duration</w:t>
            </w:r>
          </w:p>
        </w:tc>
        <w:tc>
          <w:tcPr>
            <w:tcW w:w="780" w:type="dxa"/>
            <w:shd w:val="clear" w:color="auto" w:fill="auto"/>
            <w:noWrap/>
            <w:vAlign w:val="center"/>
            <w:hideMark/>
          </w:tcPr>
          <w:p w14:paraId="2B4AB5D4" w14:textId="77777777" w:rsidR="008B126B" w:rsidRPr="00BF4EDE" w:rsidRDefault="008B126B" w:rsidP="00941028">
            <w:pPr>
              <w:jc w:val="center"/>
              <w:rPr>
                <w:rFonts w:ascii="Times New Roman" w:eastAsia="Times New Roman" w:hAnsi="Times New Roman"/>
                <w:color w:val="000000"/>
                <w:sz w:val="22"/>
                <w:szCs w:val="22"/>
              </w:rPr>
            </w:pPr>
            <w:r w:rsidRPr="00BF4EDE">
              <w:rPr>
                <w:rFonts w:ascii="Times New Roman" w:hAnsi="Times New Roman"/>
                <w:color w:val="000000"/>
                <w:sz w:val="22"/>
                <w:szCs w:val="22"/>
              </w:rPr>
              <w:t>RP</w:t>
            </w:r>
          </w:p>
        </w:tc>
        <w:tc>
          <w:tcPr>
            <w:tcW w:w="656" w:type="dxa"/>
            <w:vAlign w:val="center"/>
          </w:tcPr>
          <w:p w14:paraId="6C2E54C3" w14:textId="77777777" w:rsidR="008B126B" w:rsidRPr="00BF4EDE" w:rsidRDefault="008B126B" w:rsidP="00941028">
            <w:pPr>
              <w:jc w:val="center"/>
              <w:rPr>
                <w:rFonts w:ascii="Times New Roman" w:eastAsiaTheme="minorEastAsia" w:hAnsi="Times New Roman"/>
                <w:color w:val="000000"/>
                <w:sz w:val="22"/>
                <w:szCs w:val="22"/>
              </w:rPr>
            </w:pPr>
            <w:r w:rsidRPr="00BF4EDE">
              <w:rPr>
                <w:rFonts w:ascii="Times New Roman" w:hAnsi="Times New Roman"/>
                <w:color w:val="000000"/>
                <w:sz w:val="22"/>
                <w:szCs w:val="22"/>
              </w:rPr>
              <w:t>2013</w:t>
            </w:r>
          </w:p>
        </w:tc>
        <w:tc>
          <w:tcPr>
            <w:tcW w:w="1580" w:type="dxa"/>
            <w:shd w:val="clear" w:color="auto" w:fill="auto"/>
            <w:noWrap/>
            <w:vAlign w:val="center"/>
            <w:hideMark/>
          </w:tcPr>
          <w:p w14:paraId="4876B95F" w14:textId="77777777" w:rsidR="008B126B" w:rsidRPr="00BF4EDE" w:rsidRDefault="008B126B" w:rsidP="00941028">
            <w:pPr>
              <w:jc w:val="center"/>
              <w:rPr>
                <w:rFonts w:ascii="Times New Roman" w:eastAsia="Times New Roman" w:hAnsi="Times New Roman"/>
                <w:color w:val="000000"/>
                <w:sz w:val="22"/>
                <w:szCs w:val="22"/>
              </w:rPr>
            </w:pPr>
            <w:r w:rsidRPr="00BF4EDE">
              <w:rPr>
                <w:rFonts w:ascii="Times New Roman" w:eastAsia="Times New Roman" w:hAnsi="Times New Roman"/>
                <w:color w:val="000000"/>
                <w:sz w:val="22"/>
                <w:szCs w:val="22"/>
              </w:rPr>
              <w:t>Erie County, U.S.</w:t>
            </w:r>
          </w:p>
        </w:tc>
        <w:tc>
          <w:tcPr>
            <w:tcW w:w="1860" w:type="dxa"/>
            <w:shd w:val="clear" w:color="auto" w:fill="auto"/>
            <w:noWrap/>
            <w:vAlign w:val="center"/>
            <w:hideMark/>
          </w:tcPr>
          <w:p w14:paraId="0DB24728" w14:textId="2A2C5A50" w:rsidR="008B126B" w:rsidRPr="00BF4EDE" w:rsidRDefault="00F75CDE" w:rsidP="00941028">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No</w:t>
            </w:r>
          </w:p>
        </w:tc>
        <w:tc>
          <w:tcPr>
            <w:tcW w:w="1950" w:type="dxa"/>
            <w:shd w:val="clear" w:color="auto" w:fill="auto"/>
            <w:noWrap/>
            <w:vAlign w:val="center"/>
            <w:hideMark/>
          </w:tcPr>
          <w:p w14:paraId="0B60949D" w14:textId="2D437109" w:rsidR="008B126B" w:rsidRPr="00BF4EDE" w:rsidRDefault="008B126B" w:rsidP="00941028">
            <w:pPr>
              <w:jc w:val="center"/>
              <w:rPr>
                <w:rFonts w:ascii="Times New Roman" w:eastAsia="Times New Roman" w:hAnsi="Times New Roman"/>
                <w:color w:val="000000"/>
                <w:sz w:val="22"/>
                <w:szCs w:val="22"/>
              </w:rPr>
            </w:pPr>
            <w:r w:rsidRPr="00BF4EDE">
              <w:rPr>
                <w:rFonts w:ascii="Times New Roman" w:eastAsia="Times New Roman" w:hAnsi="Times New Roman"/>
                <w:color w:val="000000"/>
                <w:sz w:val="22"/>
                <w:szCs w:val="22"/>
              </w:rPr>
              <w:t>BE</w:t>
            </w:r>
            <w:r w:rsidR="00F75CDE">
              <w:rPr>
                <w:rFonts w:ascii="Times New Roman" w:eastAsia="Times New Roman" w:hAnsi="Times New Roman"/>
                <w:color w:val="000000"/>
                <w:sz w:val="22"/>
                <w:szCs w:val="22"/>
              </w:rPr>
              <w:t xml:space="preserve"> (perceived)</w:t>
            </w:r>
          </w:p>
        </w:tc>
      </w:tr>
      <w:tr w:rsidR="00BF04A1" w:rsidRPr="00BF4EDE" w14:paraId="48322770" w14:textId="77777777" w:rsidTr="00BF04A1">
        <w:trPr>
          <w:trHeight w:val="346"/>
        </w:trPr>
        <w:tc>
          <w:tcPr>
            <w:tcW w:w="1147" w:type="dxa"/>
            <w:shd w:val="clear" w:color="auto" w:fill="auto"/>
            <w:noWrap/>
            <w:vAlign w:val="center"/>
          </w:tcPr>
          <w:p w14:paraId="2F807567" w14:textId="1474A21D" w:rsidR="00EF54CA" w:rsidRPr="00E53CF3" w:rsidRDefault="00EF54CA" w:rsidP="00941028">
            <w:pPr>
              <w:jc w:val="center"/>
              <w:rPr>
                <w:rFonts w:ascii="Times New Roman" w:eastAsiaTheme="minorEastAsia" w:hAnsi="Times New Roman"/>
                <w:color w:val="000000"/>
                <w:sz w:val="22"/>
                <w:szCs w:val="22"/>
                <w:lang w:eastAsia="ko-KR"/>
              </w:rPr>
            </w:pPr>
            <w:r>
              <w:rPr>
                <w:rFonts w:ascii="Times New Roman" w:eastAsia="Times New Roman" w:hAnsi="Times New Roman"/>
                <w:color w:val="000000"/>
                <w:sz w:val="22"/>
                <w:szCs w:val="22"/>
              </w:rPr>
              <w:t>Thornton</w:t>
            </w:r>
            <w:r w:rsidR="00E53CF3">
              <w:rPr>
                <w:rFonts w:ascii="Times New Roman" w:eastAsiaTheme="minorEastAsia" w:hAnsi="Times New Roman" w:hint="eastAsia"/>
                <w:color w:val="000000"/>
                <w:sz w:val="22"/>
                <w:szCs w:val="22"/>
                <w:lang w:eastAsia="ko-KR"/>
              </w:rPr>
              <w:t xml:space="preserve"> et al.</w:t>
            </w:r>
          </w:p>
          <w:p w14:paraId="1BCC31D9" w14:textId="4509A9C0" w:rsidR="00EF54CA" w:rsidRPr="00BF4EDE" w:rsidRDefault="00EF54CA" w:rsidP="00941028">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(2017)</w:t>
            </w:r>
          </w:p>
        </w:tc>
        <w:tc>
          <w:tcPr>
            <w:tcW w:w="1341" w:type="dxa"/>
            <w:shd w:val="clear" w:color="auto" w:fill="auto"/>
            <w:noWrap/>
            <w:vAlign w:val="center"/>
          </w:tcPr>
          <w:p w14:paraId="03A119EB" w14:textId="245B01D8" w:rsidR="00EF54CA" w:rsidRDefault="00EF54CA" w:rsidP="00941028">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Weekly Duration</w:t>
            </w:r>
          </w:p>
        </w:tc>
        <w:tc>
          <w:tcPr>
            <w:tcW w:w="780" w:type="dxa"/>
            <w:shd w:val="clear" w:color="auto" w:fill="auto"/>
            <w:noWrap/>
            <w:vAlign w:val="center"/>
          </w:tcPr>
          <w:p w14:paraId="566BF5CE" w14:textId="289145B2" w:rsidR="00EF54CA" w:rsidRPr="00BF4EDE" w:rsidRDefault="00EF54CA" w:rsidP="00941028">
            <w:pPr>
              <w:jc w:val="center"/>
              <w:rPr>
                <w:rFonts w:ascii="Times New Roman" w:hAnsi="Times New Roman"/>
                <w:color w:val="000000"/>
                <w:sz w:val="22"/>
                <w:szCs w:val="22"/>
              </w:rPr>
            </w:pPr>
            <w:r>
              <w:rPr>
                <w:rFonts w:ascii="Times New Roman" w:hAnsi="Times New Roman"/>
                <w:color w:val="000000"/>
                <w:sz w:val="22"/>
                <w:szCs w:val="22"/>
              </w:rPr>
              <w:t>RP</w:t>
            </w:r>
          </w:p>
        </w:tc>
        <w:tc>
          <w:tcPr>
            <w:tcW w:w="656" w:type="dxa"/>
            <w:vAlign w:val="center"/>
          </w:tcPr>
          <w:p w14:paraId="06C1CAD6" w14:textId="36F9FE8D" w:rsidR="00EF54CA" w:rsidRPr="007608A3" w:rsidRDefault="007608A3" w:rsidP="00941028">
            <w:pPr>
              <w:jc w:val="center"/>
              <w:rPr>
                <w:rFonts w:ascii="Times New Roman" w:eastAsiaTheme="minorEastAsia" w:hAnsi="Times New Roman"/>
                <w:color w:val="000000"/>
                <w:sz w:val="22"/>
                <w:szCs w:val="22"/>
                <w:lang w:eastAsia="ko-KR"/>
              </w:rPr>
            </w:pPr>
            <w:r>
              <w:rPr>
                <w:rFonts w:ascii="Times New Roman" w:eastAsiaTheme="minorEastAsia" w:hAnsi="Times New Roman" w:hint="eastAsia"/>
                <w:color w:val="000000"/>
                <w:sz w:val="22"/>
                <w:szCs w:val="22"/>
                <w:lang w:eastAsia="ko-KR"/>
              </w:rPr>
              <w:t>2005-2008</w:t>
            </w:r>
          </w:p>
        </w:tc>
        <w:tc>
          <w:tcPr>
            <w:tcW w:w="1580" w:type="dxa"/>
            <w:shd w:val="clear" w:color="auto" w:fill="auto"/>
            <w:noWrap/>
            <w:vAlign w:val="center"/>
          </w:tcPr>
          <w:p w14:paraId="538F35E7" w14:textId="7B1BA133" w:rsidR="00EF54CA" w:rsidRPr="00BF4EDE" w:rsidRDefault="00EF54CA" w:rsidP="00941028">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Baltimore, Seattle, U.S.</w:t>
            </w:r>
          </w:p>
        </w:tc>
        <w:tc>
          <w:tcPr>
            <w:tcW w:w="1860" w:type="dxa"/>
            <w:shd w:val="clear" w:color="auto" w:fill="auto"/>
            <w:noWrap/>
            <w:vAlign w:val="center"/>
          </w:tcPr>
          <w:p w14:paraId="3813C7AB" w14:textId="57C419DD" w:rsidR="00EF54CA" w:rsidRPr="00BF4EDE" w:rsidRDefault="00F75CDE" w:rsidP="00941028">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No</w:t>
            </w:r>
          </w:p>
        </w:tc>
        <w:tc>
          <w:tcPr>
            <w:tcW w:w="1950" w:type="dxa"/>
            <w:shd w:val="clear" w:color="auto" w:fill="auto"/>
            <w:noWrap/>
            <w:vAlign w:val="center"/>
          </w:tcPr>
          <w:p w14:paraId="69DFC269" w14:textId="4FA2D9C6" w:rsidR="00EF54CA" w:rsidRPr="00BF4EDE" w:rsidRDefault="00EF54CA" w:rsidP="00941028">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BE (objective and perceived)</w:t>
            </w:r>
          </w:p>
        </w:tc>
      </w:tr>
      <w:tr w:rsidR="0091212F" w:rsidRPr="00BF4EDE" w14:paraId="71F20104" w14:textId="77777777" w:rsidTr="00BF04A1">
        <w:trPr>
          <w:trHeight w:val="346"/>
        </w:trPr>
        <w:tc>
          <w:tcPr>
            <w:tcW w:w="1147" w:type="dxa"/>
            <w:shd w:val="clear" w:color="auto" w:fill="auto"/>
            <w:noWrap/>
            <w:vAlign w:val="center"/>
            <w:hideMark/>
          </w:tcPr>
          <w:p w14:paraId="2045EC83" w14:textId="77777777" w:rsidR="008B126B" w:rsidRPr="00BF4EDE" w:rsidRDefault="008B126B" w:rsidP="00941028">
            <w:pPr>
              <w:jc w:val="center"/>
              <w:rPr>
                <w:rFonts w:ascii="Times New Roman" w:eastAsia="Times New Roman" w:hAnsi="Times New Roman"/>
                <w:color w:val="000000"/>
                <w:sz w:val="22"/>
                <w:szCs w:val="22"/>
              </w:rPr>
            </w:pPr>
            <w:r w:rsidRPr="00BF4EDE">
              <w:rPr>
                <w:rFonts w:ascii="Times New Roman" w:eastAsia="Times New Roman" w:hAnsi="Times New Roman"/>
                <w:color w:val="000000"/>
                <w:sz w:val="22"/>
                <w:szCs w:val="22"/>
              </w:rPr>
              <w:t>Liu et al. (2020)</w:t>
            </w:r>
          </w:p>
        </w:tc>
        <w:tc>
          <w:tcPr>
            <w:tcW w:w="1341" w:type="dxa"/>
            <w:shd w:val="clear" w:color="auto" w:fill="auto"/>
            <w:noWrap/>
            <w:vAlign w:val="center"/>
            <w:hideMark/>
          </w:tcPr>
          <w:p w14:paraId="358F2C91" w14:textId="77777777" w:rsidR="008B126B" w:rsidRPr="00BF4EDE" w:rsidRDefault="008B126B" w:rsidP="00941028">
            <w:pPr>
              <w:jc w:val="center"/>
              <w:rPr>
                <w:rFonts w:ascii="Times New Roman" w:eastAsia="Times New Roman" w:hAnsi="Times New Roman"/>
                <w:color w:val="000000"/>
                <w:sz w:val="22"/>
                <w:szCs w:val="22"/>
              </w:rPr>
            </w:pPr>
            <w:r w:rsidRPr="00BF4EDE">
              <w:rPr>
                <w:rFonts w:ascii="Times New Roman" w:eastAsia="Times New Roman" w:hAnsi="Times New Roman"/>
                <w:color w:val="000000"/>
                <w:sz w:val="22"/>
                <w:szCs w:val="22"/>
              </w:rPr>
              <w:t>Trip duration</w:t>
            </w:r>
          </w:p>
        </w:tc>
        <w:tc>
          <w:tcPr>
            <w:tcW w:w="780" w:type="dxa"/>
            <w:shd w:val="clear" w:color="auto" w:fill="auto"/>
            <w:noWrap/>
            <w:vAlign w:val="center"/>
            <w:hideMark/>
          </w:tcPr>
          <w:p w14:paraId="50AD8935" w14:textId="77777777" w:rsidR="008B126B" w:rsidRPr="00BF4EDE" w:rsidRDefault="008B126B" w:rsidP="00941028">
            <w:pPr>
              <w:jc w:val="center"/>
              <w:rPr>
                <w:rFonts w:ascii="Times New Roman" w:eastAsia="Times New Roman" w:hAnsi="Times New Roman"/>
                <w:color w:val="000000"/>
                <w:sz w:val="22"/>
                <w:szCs w:val="22"/>
              </w:rPr>
            </w:pPr>
            <w:r w:rsidRPr="00BF4EDE">
              <w:rPr>
                <w:rFonts w:ascii="Times New Roman" w:hAnsi="Times New Roman"/>
                <w:color w:val="000000"/>
                <w:sz w:val="22"/>
                <w:szCs w:val="22"/>
              </w:rPr>
              <w:t>RP</w:t>
            </w:r>
          </w:p>
        </w:tc>
        <w:tc>
          <w:tcPr>
            <w:tcW w:w="656" w:type="dxa"/>
            <w:vAlign w:val="center"/>
          </w:tcPr>
          <w:p w14:paraId="2C75A633" w14:textId="77777777" w:rsidR="008B126B" w:rsidRPr="00BF4EDE" w:rsidRDefault="008B126B" w:rsidP="00941028">
            <w:pPr>
              <w:jc w:val="center"/>
              <w:rPr>
                <w:rFonts w:ascii="Times New Roman" w:eastAsiaTheme="minorEastAsia" w:hAnsi="Times New Roman"/>
                <w:color w:val="000000"/>
                <w:sz w:val="22"/>
                <w:szCs w:val="22"/>
              </w:rPr>
            </w:pPr>
            <w:r w:rsidRPr="00BF4EDE">
              <w:rPr>
                <w:rFonts w:ascii="Times New Roman" w:hAnsi="Times New Roman"/>
                <w:color w:val="000000"/>
                <w:sz w:val="22"/>
                <w:szCs w:val="22"/>
              </w:rPr>
              <w:t>2017</w:t>
            </w:r>
          </w:p>
        </w:tc>
        <w:tc>
          <w:tcPr>
            <w:tcW w:w="1580" w:type="dxa"/>
            <w:shd w:val="clear" w:color="auto" w:fill="auto"/>
            <w:noWrap/>
            <w:vAlign w:val="center"/>
            <w:hideMark/>
          </w:tcPr>
          <w:p w14:paraId="3875B43E" w14:textId="77777777" w:rsidR="008B126B" w:rsidRPr="00BF4EDE" w:rsidRDefault="008B126B" w:rsidP="00941028">
            <w:pPr>
              <w:jc w:val="center"/>
              <w:rPr>
                <w:rFonts w:ascii="Times New Roman" w:hAnsi="Times New Roman"/>
                <w:color w:val="000000"/>
                <w:sz w:val="22"/>
                <w:szCs w:val="22"/>
              </w:rPr>
            </w:pPr>
            <w:r w:rsidRPr="00BF4EDE">
              <w:rPr>
                <w:rFonts w:ascii="Times New Roman" w:eastAsia="Times New Roman" w:hAnsi="Times New Roman"/>
                <w:color w:val="000000"/>
                <w:sz w:val="22"/>
                <w:szCs w:val="22"/>
              </w:rPr>
              <w:t>Dalian,</w:t>
            </w:r>
          </w:p>
          <w:p w14:paraId="16906D77" w14:textId="77777777" w:rsidR="008B126B" w:rsidRPr="00BF4EDE" w:rsidRDefault="008B126B" w:rsidP="00941028">
            <w:pPr>
              <w:jc w:val="center"/>
              <w:rPr>
                <w:rFonts w:ascii="Times New Roman" w:eastAsia="Times New Roman" w:hAnsi="Times New Roman"/>
                <w:color w:val="000000"/>
                <w:sz w:val="22"/>
                <w:szCs w:val="22"/>
              </w:rPr>
            </w:pPr>
            <w:r w:rsidRPr="00BF4EDE">
              <w:rPr>
                <w:rFonts w:ascii="Times New Roman" w:eastAsia="Times New Roman" w:hAnsi="Times New Roman"/>
                <w:color w:val="000000"/>
                <w:sz w:val="22"/>
                <w:szCs w:val="22"/>
              </w:rPr>
              <w:t>China</w:t>
            </w:r>
          </w:p>
        </w:tc>
        <w:tc>
          <w:tcPr>
            <w:tcW w:w="1860" w:type="dxa"/>
            <w:shd w:val="clear" w:color="auto" w:fill="auto"/>
            <w:noWrap/>
            <w:vAlign w:val="center"/>
            <w:hideMark/>
          </w:tcPr>
          <w:p w14:paraId="3DC437E3" w14:textId="354597D5" w:rsidR="008B126B" w:rsidRPr="00BF4EDE" w:rsidRDefault="00F75CDE" w:rsidP="00941028">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Yes (as exogenous)</w:t>
            </w:r>
          </w:p>
        </w:tc>
        <w:tc>
          <w:tcPr>
            <w:tcW w:w="1950" w:type="dxa"/>
            <w:shd w:val="clear" w:color="auto" w:fill="auto"/>
            <w:noWrap/>
            <w:vAlign w:val="center"/>
            <w:hideMark/>
          </w:tcPr>
          <w:p w14:paraId="2BA0C826" w14:textId="78CB716F" w:rsidR="008B126B" w:rsidRPr="00BF4EDE" w:rsidRDefault="008B126B" w:rsidP="00941028">
            <w:pPr>
              <w:jc w:val="center"/>
              <w:rPr>
                <w:rFonts w:ascii="Times New Roman" w:eastAsiaTheme="minorEastAsia" w:hAnsi="Times New Roman"/>
                <w:color w:val="000000"/>
                <w:sz w:val="22"/>
                <w:szCs w:val="22"/>
              </w:rPr>
            </w:pPr>
            <w:r w:rsidRPr="00BF4EDE">
              <w:rPr>
                <w:rFonts w:ascii="Times New Roman" w:eastAsia="Times New Roman" w:hAnsi="Times New Roman"/>
                <w:color w:val="000000"/>
                <w:sz w:val="22"/>
                <w:szCs w:val="22"/>
              </w:rPr>
              <w:t>BE</w:t>
            </w:r>
            <w:r w:rsidR="00F75CDE">
              <w:rPr>
                <w:rFonts w:ascii="Times New Roman" w:eastAsia="Times New Roman" w:hAnsi="Times New Roman"/>
                <w:color w:val="000000"/>
                <w:sz w:val="22"/>
                <w:szCs w:val="22"/>
              </w:rPr>
              <w:t xml:space="preserve"> (perceived)</w:t>
            </w:r>
            <w:r w:rsidRPr="00BF4EDE">
              <w:rPr>
                <w:rFonts w:ascii="Times New Roman" w:eastAsia="Times New Roman" w:hAnsi="Times New Roman"/>
                <w:color w:val="000000"/>
                <w:sz w:val="22"/>
                <w:szCs w:val="22"/>
              </w:rPr>
              <w:t xml:space="preserve">, </w:t>
            </w:r>
            <w:r w:rsidRPr="00BF4EDE">
              <w:rPr>
                <w:rFonts w:ascii="Times New Roman" w:hAnsi="Times New Roman"/>
                <w:color w:val="000000"/>
                <w:sz w:val="22"/>
                <w:szCs w:val="22"/>
              </w:rPr>
              <w:t>SD</w:t>
            </w:r>
          </w:p>
        </w:tc>
      </w:tr>
      <w:tr w:rsidR="0091212F" w:rsidRPr="00BF4EDE" w14:paraId="4CACE8CF" w14:textId="77777777" w:rsidTr="00BF04A1">
        <w:trPr>
          <w:trHeight w:val="346"/>
        </w:trPr>
        <w:tc>
          <w:tcPr>
            <w:tcW w:w="1147" w:type="dxa"/>
            <w:shd w:val="clear" w:color="auto" w:fill="auto"/>
            <w:noWrap/>
            <w:vAlign w:val="center"/>
            <w:hideMark/>
          </w:tcPr>
          <w:p w14:paraId="2A1CABB1" w14:textId="77777777" w:rsidR="008B126B" w:rsidRPr="00BF4EDE" w:rsidRDefault="008B126B" w:rsidP="00FE7DFB">
            <w:pPr>
              <w:jc w:val="center"/>
              <w:rPr>
                <w:rFonts w:ascii="Times New Roman" w:eastAsia="Times New Roman" w:hAnsi="Times New Roman"/>
                <w:color w:val="000000"/>
                <w:sz w:val="22"/>
                <w:szCs w:val="22"/>
              </w:rPr>
            </w:pPr>
            <w:r w:rsidRPr="00BF4EDE">
              <w:rPr>
                <w:rFonts w:ascii="Times New Roman" w:eastAsia="Times New Roman" w:hAnsi="Times New Roman"/>
                <w:color w:val="000000"/>
                <w:sz w:val="22"/>
                <w:szCs w:val="22"/>
              </w:rPr>
              <w:t>Wu et al. (2021)</w:t>
            </w:r>
          </w:p>
        </w:tc>
        <w:tc>
          <w:tcPr>
            <w:tcW w:w="1341" w:type="dxa"/>
            <w:shd w:val="clear" w:color="auto" w:fill="auto"/>
            <w:noWrap/>
            <w:vAlign w:val="center"/>
            <w:hideMark/>
          </w:tcPr>
          <w:p w14:paraId="28F371E1" w14:textId="2C00EE91" w:rsidR="008B126B" w:rsidRPr="00BF4EDE" w:rsidRDefault="00F75CDE" w:rsidP="00FE7DFB">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 xml:space="preserve">Daily </w:t>
            </w:r>
            <w:r w:rsidR="008B126B" w:rsidRPr="00BF4EDE">
              <w:rPr>
                <w:rFonts w:ascii="Times New Roman" w:eastAsia="Times New Roman" w:hAnsi="Times New Roman"/>
                <w:color w:val="000000"/>
                <w:sz w:val="22"/>
                <w:szCs w:val="22"/>
              </w:rPr>
              <w:t>Frequency</w:t>
            </w:r>
          </w:p>
        </w:tc>
        <w:tc>
          <w:tcPr>
            <w:tcW w:w="780" w:type="dxa"/>
            <w:shd w:val="clear" w:color="auto" w:fill="auto"/>
            <w:noWrap/>
            <w:vAlign w:val="center"/>
            <w:hideMark/>
          </w:tcPr>
          <w:p w14:paraId="1E6490A5" w14:textId="77777777" w:rsidR="008B126B" w:rsidRPr="00BF4EDE" w:rsidRDefault="008B126B" w:rsidP="00FE7DFB">
            <w:pPr>
              <w:jc w:val="center"/>
              <w:rPr>
                <w:rFonts w:ascii="Times New Roman" w:eastAsia="Times New Roman" w:hAnsi="Times New Roman"/>
                <w:color w:val="000000"/>
                <w:sz w:val="22"/>
                <w:szCs w:val="22"/>
              </w:rPr>
            </w:pPr>
            <w:r w:rsidRPr="00BF4EDE">
              <w:rPr>
                <w:rFonts w:ascii="Times New Roman" w:hAnsi="Times New Roman"/>
                <w:color w:val="000000"/>
                <w:sz w:val="22"/>
                <w:szCs w:val="22"/>
              </w:rPr>
              <w:t>RP</w:t>
            </w:r>
          </w:p>
        </w:tc>
        <w:tc>
          <w:tcPr>
            <w:tcW w:w="656" w:type="dxa"/>
            <w:vAlign w:val="center"/>
          </w:tcPr>
          <w:p w14:paraId="130DBD7F" w14:textId="77777777" w:rsidR="008B126B" w:rsidRPr="00BF4EDE" w:rsidRDefault="008B126B" w:rsidP="00FE7DFB">
            <w:pPr>
              <w:jc w:val="center"/>
              <w:rPr>
                <w:rFonts w:ascii="Times New Roman" w:eastAsiaTheme="minorEastAsia" w:hAnsi="Times New Roman"/>
                <w:color w:val="000000"/>
                <w:sz w:val="22"/>
                <w:szCs w:val="22"/>
              </w:rPr>
            </w:pPr>
            <w:r w:rsidRPr="00BF4EDE">
              <w:rPr>
                <w:rFonts w:ascii="Times New Roman" w:hAnsi="Times New Roman"/>
                <w:color w:val="000000"/>
                <w:sz w:val="22"/>
                <w:szCs w:val="22"/>
              </w:rPr>
              <w:t>2012</w:t>
            </w:r>
          </w:p>
        </w:tc>
        <w:tc>
          <w:tcPr>
            <w:tcW w:w="1580" w:type="dxa"/>
            <w:shd w:val="clear" w:color="auto" w:fill="auto"/>
            <w:noWrap/>
            <w:vAlign w:val="center"/>
            <w:hideMark/>
          </w:tcPr>
          <w:p w14:paraId="112B636B" w14:textId="77777777" w:rsidR="008B126B" w:rsidRPr="00BF4EDE" w:rsidRDefault="008B126B" w:rsidP="00FE7DFB">
            <w:pPr>
              <w:jc w:val="center"/>
              <w:rPr>
                <w:rFonts w:ascii="Times New Roman" w:eastAsia="Times New Roman" w:hAnsi="Times New Roman"/>
                <w:color w:val="000000"/>
                <w:sz w:val="22"/>
                <w:szCs w:val="22"/>
              </w:rPr>
            </w:pPr>
            <w:r w:rsidRPr="00BF4EDE">
              <w:rPr>
                <w:rFonts w:ascii="Times New Roman" w:eastAsia="Times New Roman" w:hAnsi="Times New Roman"/>
                <w:color w:val="000000"/>
                <w:sz w:val="22"/>
                <w:szCs w:val="22"/>
              </w:rPr>
              <w:t>Zhongshan, China</w:t>
            </w:r>
          </w:p>
        </w:tc>
        <w:tc>
          <w:tcPr>
            <w:tcW w:w="1860" w:type="dxa"/>
            <w:shd w:val="clear" w:color="auto" w:fill="auto"/>
            <w:noWrap/>
            <w:vAlign w:val="center"/>
            <w:hideMark/>
          </w:tcPr>
          <w:p w14:paraId="4891AEC7" w14:textId="38184F18" w:rsidR="008B126B" w:rsidRPr="00BF4EDE" w:rsidRDefault="00F75CDE" w:rsidP="00FE7DFB">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No</w:t>
            </w:r>
          </w:p>
        </w:tc>
        <w:tc>
          <w:tcPr>
            <w:tcW w:w="1950" w:type="dxa"/>
            <w:shd w:val="clear" w:color="auto" w:fill="auto"/>
            <w:noWrap/>
            <w:vAlign w:val="center"/>
            <w:hideMark/>
          </w:tcPr>
          <w:p w14:paraId="17EAD6E5" w14:textId="67B5AFC2" w:rsidR="008B126B" w:rsidRPr="00BF4EDE" w:rsidRDefault="008B126B" w:rsidP="00FE7DFB">
            <w:pPr>
              <w:jc w:val="center"/>
              <w:rPr>
                <w:rFonts w:ascii="Times New Roman" w:eastAsia="Times New Roman" w:hAnsi="Times New Roman"/>
                <w:color w:val="000000"/>
                <w:sz w:val="22"/>
                <w:szCs w:val="22"/>
              </w:rPr>
            </w:pPr>
            <w:r w:rsidRPr="00BF4EDE">
              <w:rPr>
                <w:rFonts w:ascii="Times New Roman" w:eastAsia="Times New Roman" w:hAnsi="Times New Roman"/>
                <w:color w:val="000000"/>
                <w:sz w:val="22"/>
                <w:szCs w:val="22"/>
              </w:rPr>
              <w:t>BE</w:t>
            </w:r>
            <w:r w:rsidR="00F75CDE">
              <w:rPr>
                <w:rFonts w:ascii="Times New Roman" w:eastAsia="Times New Roman" w:hAnsi="Times New Roman"/>
                <w:color w:val="000000"/>
                <w:sz w:val="22"/>
                <w:szCs w:val="22"/>
              </w:rPr>
              <w:t xml:space="preserve"> (objective)</w:t>
            </w:r>
          </w:p>
        </w:tc>
      </w:tr>
      <w:tr w:rsidR="0091212F" w:rsidRPr="00BF4EDE" w14:paraId="33483C9B" w14:textId="77777777" w:rsidTr="00BF04A1">
        <w:trPr>
          <w:trHeight w:val="346"/>
        </w:trPr>
        <w:tc>
          <w:tcPr>
            <w:tcW w:w="1147" w:type="dxa"/>
            <w:shd w:val="clear" w:color="auto" w:fill="auto"/>
            <w:noWrap/>
            <w:vAlign w:val="center"/>
            <w:hideMark/>
          </w:tcPr>
          <w:p w14:paraId="59BD37D9" w14:textId="77777777" w:rsidR="008B126B" w:rsidRPr="00BF4EDE" w:rsidRDefault="008B126B" w:rsidP="00FE7DFB">
            <w:pPr>
              <w:jc w:val="center"/>
              <w:rPr>
                <w:rFonts w:ascii="Times New Roman" w:eastAsia="Times New Roman" w:hAnsi="Times New Roman"/>
                <w:color w:val="000000"/>
                <w:sz w:val="22"/>
                <w:szCs w:val="22"/>
              </w:rPr>
            </w:pPr>
            <w:r w:rsidRPr="00BF4EDE">
              <w:rPr>
                <w:rFonts w:ascii="Times New Roman" w:eastAsia="Times New Roman" w:hAnsi="Times New Roman"/>
                <w:color w:val="000000"/>
                <w:sz w:val="22"/>
                <w:szCs w:val="22"/>
              </w:rPr>
              <w:t>Zang et al. (2022)</w:t>
            </w:r>
          </w:p>
        </w:tc>
        <w:tc>
          <w:tcPr>
            <w:tcW w:w="1341" w:type="dxa"/>
            <w:shd w:val="clear" w:color="auto" w:fill="auto"/>
            <w:noWrap/>
            <w:vAlign w:val="center"/>
            <w:hideMark/>
          </w:tcPr>
          <w:p w14:paraId="4B14691B" w14:textId="77777777" w:rsidR="008B126B" w:rsidRPr="00BF4EDE" w:rsidRDefault="008B126B" w:rsidP="00FE7DFB">
            <w:pPr>
              <w:jc w:val="center"/>
              <w:rPr>
                <w:rFonts w:ascii="Times New Roman" w:eastAsia="Times New Roman" w:hAnsi="Times New Roman"/>
                <w:color w:val="000000"/>
                <w:sz w:val="22"/>
                <w:szCs w:val="22"/>
              </w:rPr>
            </w:pPr>
            <w:r w:rsidRPr="00BF4EDE">
              <w:rPr>
                <w:rFonts w:ascii="Times New Roman" w:eastAsia="Times New Roman" w:hAnsi="Times New Roman"/>
                <w:color w:val="000000"/>
                <w:sz w:val="22"/>
                <w:szCs w:val="22"/>
              </w:rPr>
              <w:t>Total duration</w:t>
            </w:r>
          </w:p>
        </w:tc>
        <w:tc>
          <w:tcPr>
            <w:tcW w:w="780" w:type="dxa"/>
            <w:shd w:val="clear" w:color="auto" w:fill="auto"/>
            <w:noWrap/>
            <w:vAlign w:val="center"/>
            <w:hideMark/>
          </w:tcPr>
          <w:p w14:paraId="69111283" w14:textId="77777777" w:rsidR="008B126B" w:rsidRPr="00BF4EDE" w:rsidRDefault="008B126B" w:rsidP="00FE7DFB">
            <w:pPr>
              <w:jc w:val="center"/>
              <w:rPr>
                <w:rFonts w:ascii="Times New Roman" w:eastAsia="Times New Roman" w:hAnsi="Times New Roman"/>
                <w:color w:val="000000"/>
                <w:sz w:val="22"/>
                <w:szCs w:val="22"/>
              </w:rPr>
            </w:pPr>
            <w:r w:rsidRPr="00BF4EDE">
              <w:rPr>
                <w:rFonts w:ascii="Times New Roman" w:hAnsi="Times New Roman"/>
                <w:color w:val="000000"/>
                <w:sz w:val="22"/>
                <w:szCs w:val="22"/>
              </w:rPr>
              <w:t>RP</w:t>
            </w:r>
          </w:p>
        </w:tc>
        <w:tc>
          <w:tcPr>
            <w:tcW w:w="656" w:type="dxa"/>
            <w:vAlign w:val="center"/>
          </w:tcPr>
          <w:p w14:paraId="4F002666" w14:textId="77777777" w:rsidR="008B126B" w:rsidRPr="00BF4EDE" w:rsidRDefault="008B126B" w:rsidP="00FE7DFB">
            <w:pPr>
              <w:jc w:val="center"/>
              <w:rPr>
                <w:rFonts w:ascii="Times New Roman" w:eastAsiaTheme="minorEastAsia" w:hAnsi="Times New Roman"/>
                <w:color w:val="000000"/>
                <w:sz w:val="22"/>
                <w:szCs w:val="22"/>
              </w:rPr>
            </w:pPr>
            <w:r w:rsidRPr="00BF4EDE">
              <w:rPr>
                <w:rFonts w:ascii="Times New Roman" w:hAnsi="Times New Roman"/>
                <w:color w:val="000000"/>
                <w:sz w:val="22"/>
                <w:szCs w:val="22"/>
              </w:rPr>
              <w:t>2019</w:t>
            </w:r>
          </w:p>
        </w:tc>
        <w:tc>
          <w:tcPr>
            <w:tcW w:w="1580" w:type="dxa"/>
            <w:shd w:val="clear" w:color="auto" w:fill="auto"/>
            <w:noWrap/>
            <w:vAlign w:val="center"/>
            <w:hideMark/>
          </w:tcPr>
          <w:p w14:paraId="53CDE5BA" w14:textId="77777777" w:rsidR="008B126B" w:rsidRPr="00BF4EDE" w:rsidRDefault="008B126B" w:rsidP="00FE7DFB">
            <w:pPr>
              <w:jc w:val="center"/>
              <w:rPr>
                <w:rFonts w:ascii="Times New Roman" w:eastAsia="Times New Roman" w:hAnsi="Times New Roman"/>
                <w:color w:val="000000"/>
                <w:sz w:val="22"/>
                <w:szCs w:val="22"/>
              </w:rPr>
            </w:pPr>
            <w:r w:rsidRPr="00BF4EDE">
              <w:rPr>
                <w:rFonts w:ascii="Times New Roman" w:eastAsia="Times New Roman" w:hAnsi="Times New Roman"/>
                <w:color w:val="000000"/>
                <w:sz w:val="22"/>
                <w:szCs w:val="22"/>
              </w:rPr>
              <w:t>Guangzhou, China</w:t>
            </w:r>
          </w:p>
        </w:tc>
        <w:tc>
          <w:tcPr>
            <w:tcW w:w="1860" w:type="dxa"/>
            <w:shd w:val="clear" w:color="auto" w:fill="auto"/>
            <w:noWrap/>
            <w:vAlign w:val="center"/>
            <w:hideMark/>
          </w:tcPr>
          <w:p w14:paraId="1CF30623" w14:textId="37618F72" w:rsidR="008B126B" w:rsidRPr="00BF4EDE" w:rsidRDefault="00F75CDE" w:rsidP="00FE7DFB">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No</w:t>
            </w:r>
          </w:p>
        </w:tc>
        <w:tc>
          <w:tcPr>
            <w:tcW w:w="1950" w:type="dxa"/>
            <w:shd w:val="clear" w:color="auto" w:fill="auto"/>
            <w:noWrap/>
            <w:vAlign w:val="center"/>
            <w:hideMark/>
          </w:tcPr>
          <w:p w14:paraId="323F1FF8" w14:textId="2A53E797" w:rsidR="008B126B" w:rsidRPr="00BF4EDE" w:rsidRDefault="008B126B" w:rsidP="00FE7DFB">
            <w:pPr>
              <w:jc w:val="center"/>
              <w:rPr>
                <w:rFonts w:ascii="Times New Roman" w:eastAsiaTheme="minorEastAsia" w:hAnsi="Times New Roman"/>
                <w:color w:val="000000"/>
                <w:sz w:val="22"/>
                <w:szCs w:val="22"/>
              </w:rPr>
            </w:pPr>
            <w:r w:rsidRPr="00BF4EDE">
              <w:rPr>
                <w:rFonts w:ascii="Times New Roman" w:eastAsia="Times New Roman" w:hAnsi="Times New Roman"/>
                <w:color w:val="000000"/>
                <w:sz w:val="22"/>
                <w:szCs w:val="22"/>
              </w:rPr>
              <w:t>BE</w:t>
            </w:r>
            <w:r w:rsidR="00F75CDE">
              <w:rPr>
                <w:rFonts w:ascii="Times New Roman" w:eastAsia="Times New Roman" w:hAnsi="Times New Roman"/>
                <w:color w:val="000000"/>
                <w:sz w:val="22"/>
                <w:szCs w:val="22"/>
              </w:rPr>
              <w:t xml:space="preserve"> (objective)</w:t>
            </w:r>
            <w:r w:rsidRPr="00BF4EDE">
              <w:rPr>
                <w:rFonts w:ascii="Times New Roman" w:eastAsia="Times New Roman" w:hAnsi="Times New Roman"/>
                <w:color w:val="000000"/>
                <w:sz w:val="22"/>
                <w:szCs w:val="22"/>
              </w:rPr>
              <w:t>,</w:t>
            </w:r>
            <w:r w:rsidRPr="00BF4EDE">
              <w:rPr>
                <w:rFonts w:ascii="Times New Roman" w:hAnsi="Times New Roman"/>
                <w:color w:val="000000"/>
                <w:sz w:val="22"/>
                <w:szCs w:val="22"/>
              </w:rPr>
              <w:t xml:space="preserve"> SES</w:t>
            </w:r>
          </w:p>
        </w:tc>
      </w:tr>
      <w:tr w:rsidR="0091212F" w:rsidRPr="00BF4EDE" w14:paraId="7CA30FE8" w14:textId="77777777" w:rsidTr="00BF04A1">
        <w:trPr>
          <w:trHeight w:val="346"/>
        </w:trPr>
        <w:tc>
          <w:tcPr>
            <w:tcW w:w="1147" w:type="dxa"/>
            <w:shd w:val="clear" w:color="auto" w:fill="auto"/>
            <w:noWrap/>
            <w:vAlign w:val="center"/>
            <w:hideMark/>
          </w:tcPr>
          <w:p w14:paraId="6D0D33F2" w14:textId="77777777" w:rsidR="008B126B" w:rsidRPr="00BF4EDE" w:rsidRDefault="008B126B" w:rsidP="00FE7DFB">
            <w:pPr>
              <w:jc w:val="center"/>
              <w:rPr>
                <w:rFonts w:ascii="Times New Roman" w:eastAsia="Times New Roman" w:hAnsi="Times New Roman"/>
                <w:color w:val="000000"/>
                <w:sz w:val="22"/>
                <w:szCs w:val="22"/>
              </w:rPr>
            </w:pPr>
            <w:r w:rsidRPr="00BF4EDE">
              <w:rPr>
                <w:rFonts w:ascii="Times New Roman" w:eastAsia="Times New Roman" w:hAnsi="Times New Roman"/>
                <w:color w:val="000000"/>
                <w:sz w:val="22"/>
                <w:szCs w:val="22"/>
              </w:rPr>
              <w:t>Yang et al. (2022)</w:t>
            </w:r>
          </w:p>
        </w:tc>
        <w:tc>
          <w:tcPr>
            <w:tcW w:w="1341" w:type="dxa"/>
            <w:shd w:val="clear" w:color="auto" w:fill="auto"/>
            <w:noWrap/>
            <w:vAlign w:val="center"/>
            <w:hideMark/>
          </w:tcPr>
          <w:p w14:paraId="2E8EC799" w14:textId="77777777" w:rsidR="008B126B" w:rsidRPr="00BF4EDE" w:rsidRDefault="008B126B" w:rsidP="00FE7DFB">
            <w:pPr>
              <w:jc w:val="center"/>
              <w:rPr>
                <w:rFonts w:ascii="Times New Roman" w:hAnsi="Times New Roman"/>
                <w:color w:val="000000"/>
                <w:sz w:val="22"/>
                <w:szCs w:val="22"/>
              </w:rPr>
            </w:pPr>
            <w:r w:rsidRPr="00BF4EDE">
              <w:rPr>
                <w:rFonts w:ascii="Times New Roman" w:eastAsia="Times New Roman" w:hAnsi="Times New Roman"/>
                <w:color w:val="000000"/>
                <w:sz w:val="22"/>
                <w:szCs w:val="22"/>
              </w:rPr>
              <w:t>Frequency</w:t>
            </w:r>
          </w:p>
          <w:p w14:paraId="368BF5A6" w14:textId="77777777" w:rsidR="008B126B" w:rsidRPr="00BF4EDE" w:rsidRDefault="008B126B" w:rsidP="00FE7DFB">
            <w:pPr>
              <w:jc w:val="center"/>
              <w:rPr>
                <w:rFonts w:ascii="Times New Roman" w:eastAsia="Times New Roman" w:hAnsi="Times New Roman"/>
                <w:color w:val="000000"/>
                <w:sz w:val="22"/>
                <w:szCs w:val="22"/>
              </w:rPr>
            </w:pPr>
            <w:r w:rsidRPr="00BF4EDE">
              <w:rPr>
                <w:rFonts w:ascii="Times New Roman" w:eastAsia="Times New Roman" w:hAnsi="Times New Roman"/>
                <w:color w:val="000000"/>
                <w:sz w:val="22"/>
                <w:szCs w:val="22"/>
              </w:rPr>
              <w:t>/Total duration</w:t>
            </w:r>
          </w:p>
        </w:tc>
        <w:tc>
          <w:tcPr>
            <w:tcW w:w="780" w:type="dxa"/>
            <w:shd w:val="clear" w:color="auto" w:fill="auto"/>
            <w:noWrap/>
            <w:vAlign w:val="center"/>
            <w:hideMark/>
          </w:tcPr>
          <w:p w14:paraId="325BBC92" w14:textId="77777777" w:rsidR="008B126B" w:rsidRPr="00BF4EDE" w:rsidRDefault="008B126B" w:rsidP="00FE7DFB">
            <w:pPr>
              <w:jc w:val="center"/>
              <w:rPr>
                <w:rFonts w:ascii="Times New Roman" w:eastAsia="Times New Roman" w:hAnsi="Times New Roman"/>
                <w:color w:val="000000"/>
                <w:sz w:val="22"/>
                <w:szCs w:val="22"/>
              </w:rPr>
            </w:pPr>
            <w:r w:rsidRPr="00BF4EDE">
              <w:rPr>
                <w:rFonts w:ascii="Times New Roman" w:hAnsi="Times New Roman"/>
                <w:color w:val="000000"/>
                <w:sz w:val="22"/>
                <w:szCs w:val="22"/>
              </w:rPr>
              <w:t>RP</w:t>
            </w:r>
          </w:p>
        </w:tc>
        <w:tc>
          <w:tcPr>
            <w:tcW w:w="656" w:type="dxa"/>
            <w:vAlign w:val="center"/>
          </w:tcPr>
          <w:p w14:paraId="045DE9A9" w14:textId="77777777" w:rsidR="008B126B" w:rsidRPr="00BF4EDE" w:rsidRDefault="008B126B" w:rsidP="00FE7DFB">
            <w:pPr>
              <w:jc w:val="center"/>
              <w:rPr>
                <w:rFonts w:ascii="Times New Roman" w:eastAsiaTheme="minorEastAsia" w:hAnsi="Times New Roman"/>
                <w:color w:val="000000"/>
                <w:sz w:val="22"/>
                <w:szCs w:val="22"/>
              </w:rPr>
            </w:pPr>
            <w:r w:rsidRPr="00BF4EDE">
              <w:rPr>
                <w:rFonts w:ascii="Times New Roman" w:hAnsi="Times New Roman"/>
                <w:color w:val="000000"/>
                <w:sz w:val="22"/>
                <w:szCs w:val="22"/>
              </w:rPr>
              <w:t>2015</w:t>
            </w:r>
          </w:p>
        </w:tc>
        <w:tc>
          <w:tcPr>
            <w:tcW w:w="1580" w:type="dxa"/>
            <w:shd w:val="clear" w:color="auto" w:fill="auto"/>
            <w:noWrap/>
            <w:vAlign w:val="center"/>
            <w:hideMark/>
          </w:tcPr>
          <w:p w14:paraId="21D9A9D9" w14:textId="77777777" w:rsidR="008B126B" w:rsidRPr="00BF4EDE" w:rsidRDefault="008B126B" w:rsidP="00FE7DFB">
            <w:pPr>
              <w:jc w:val="center"/>
              <w:rPr>
                <w:rFonts w:ascii="Times New Roman" w:eastAsia="Times New Roman" w:hAnsi="Times New Roman"/>
                <w:color w:val="000000"/>
                <w:sz w:val="22"/>
                <w:szCs w:val="22"/>
              </w:rPr>
            </w:pPr>
            <w:r w:rsidRPr="00BF4EDE">
              <w:rPr>
                <w:rFonts w:ascii="Times New Roman" w:eastAsia="Times New Roman" w:hAnsi="Times New Roman"/>
                <w:color w:val="000000"/>
                <w:sz w:val="22"/>
                <w:szCs w:val="22"/>
              </w:rPr>
              <w:t>Xiamen, China</w:t>
            </w:r>
          </w:p>
        </w:tc>
        <w:tc>
          <w:tcPr>
            <w:tcW w:w="1860" w:type="dxa"/>
            <w:shd w:val="clear" w:color="auto" w:fill="auto"/>
            <w:noWrap/>
            <w:vAlign w:val="center"/>
            <w:hideMark/>
          </w:tcPr>
          <w:p w14:paraId="3655BF2D" w14:textId="3EBE306F" w:rsidR="008B126B" w:rsidRPr="00BF4EDE" w:rsidRDefault="00F75CDE" w:rsidP="00FE7DFB">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No</w:t>
            </w:r>
          </w:p>
        </w:tc>
        <w:tc>
          <w:tcPr>
            <w:tcW w:w="1950" w:type="dxa"/>
            <w:shd w:val="clear" w:color="auto" w:fill="auto"/>
            <w:noWrap/>
            <w:vAlign w:val="center"/>
            <w:hideMark/>
          </w:tcPr>
          <w:p w14:paraId="1293F6EB" w14:textId="44C6A2C9" w:rsidR="008B126B" w:rsidRPr="00BF4EDE" w:rsidRDefault="008B126B" w:rsidP="00FE7DFB">
            <w:pPr>
              <w:jc w:val="center"/>
              <w:rPr>
                <w:rFonts w:ascii="Times New Roman" w:eastAsiaTheme="minorEastAsia" w:hAnsi="Times New Roman"/>
                <w:color w:val="000000"/>
                <w:sz w:val="22"/>
                <w:szCs w:val="22"/>
              </w:rPr>
            </w:pPr>
            <w:r w:rsidRPr="00BF4EDE">
              <w:rPr>
                <w:rFonts w:ascii="Times New Roman" w:eastAsia="Times New Roman" w:hAnsi="Times New Roman"/>
                <w:color w:val="000000"/>
                <w:sz w:val="22"/>
                <w:szCs w:val="22"/>
              </w:rPr>
              <w:t>BE</w:t>
            </w:r>
            <w:r w:rsidR="0023219C">
              <w:rPr>
                <w:rFonts w:ascii="Times New Roman" w:eastAsia="Times New Roman" w:hAnsi="Times New Roman"/>
                <w:color w:val="000000"/>
                <w:sz w:val="22"/>
                <w:szCs w:val="22"/>
              </w:rPr>
              <w:t xml:space="preserve"> (objective)</w:t>
            </w:r>
            <w:r w:rsidRPr="00BF4EDE">
              <w:rPr>
                <w:rFonts w:ascii="Times New Roman" w:eastAsia="Times New Roman" w:hAnsi="Times New Roman"/>
                <w:color w:val="000000"/>
                <w:sz w:val="22"/>
                <w:szCs w:val="22"/>
              </w:rPr>
              <w:t xml:space="preserve">, </w:t>
            </w:r>
            <w:r w:rsidRPr="00BF4EDE">
              <w:rPr>
                <w:rFonts w:ascii="Times New Roman" w:hAnsi="Times New Roman"/>
                <w:color w:val="000000"/>
                <w:sz w:val="22"/>
                <w:szCs w:val="22"/>
              </w:rPr>
              <w:t>SD</w:t>
            </w:r>
          </w:p>
        </w:tc>
      </w:tr>
      <w:tr w:rsidR="0091212F" w:rsidRPr="00BF4EDE" w14:paraId="0411B102" w14:textId="77777777" w:rsidTr="00BF04A1">
        <w:trPr>
          <w:trHeight w:val="346"/>
        </w:trPr>
        <w:tc>
          <w:tcPr>
            <w:tcW w:w="1147" w:type="dxa"/>
            <w:shd w:val="clear" w:color="auto" w:fill="auto"/>
            <w:noWrap/>
            <w:vAlign w:val="center"/>
            <w:hideMark/>
          </w:tcPr>
          <w:p w14:paraId="5BE0C7FB" w14:textId="04F8734C" w:rsidR="008B126B" w:rsidRPr="00BF4EDE" w:rsidRDefault="008B126B" w:rsidP="00FE7DFB">
            <w:pPr>
              <w:jc w:val="center"/>
              <w:rPr>
                <w:rFonts w:ascii="Times New Roman" w:eastAsiaTheme="minorEastAsia" w:hAnsi="Times New Roman"/>
                <w:color w:val="000000"/>
                <w:sz w:val="22"/>
                <w:szCs w:val="22"/>
                <w:lang w:eastAsia="ko-KR"/>
              </w:rPr>
            </w:pPr>
            <w:r w:rsidRPr="00BF4EDE">
              <w:rPr>
                <w:rFonts w:ascii="Times New Roman" w:eastAsia="Times New Roman" w:hAnsi="Times New Roman"/>
                <w:color w:val="000000"/>
                <w:sz w:val="22"/>
                <w:szCs w:val="22"/>
              </w:rPr>
              <w:t>Hwang et al. (2023)</w:t>
            </w:r>
            <w:r w:rsidRPr="00BF4EDE">
              <w:rPr>
                <w:rFonts w:ascii="Times New Roman" w:eastAsiaTheme="minorEastAsia" w:hAnsi="Times New Roman"/>
                <w:color w:val="000000"/>
                <w:sz w:val="22"/>
                <w:szCs w:val="22"/>
                <w:vertAlign w:val="superscript"/>
                <w:lang w:eastAsia="ko-KR"/>
              </w:rPr>
              <w:t>a</w:t>
            </w:r>
          </w:p>
        </w:tc>
        <w:tc>
          <w:tcPr>
            <w:tcW w:w="1341" w:type="dxa"/>
            <w:shd w:val="clear" w:color="auto" w:fill="auto"/>
            <w:noWrap/>
            <w:vAlign w:val="center"/>
            <w:hideMark/>
          </w:tcPr>
          <w:p w14:paraId="5964BCED" w14:textId="77777777" w:rsidR="008B126B" w:rsidRPr="00BF4EDE" w:rsidRDefault="008B126B" w:rsidP="00FE7DFB">
            <w:pPr>
              <w:jc w:val="center"/>
              <w:rPr>
                <w:rFonts w:ascii="Times New Roman" w:eastAsia="Times New Roman" w:hAnsi="Times New Roman"/>
                <w:color w:val="000000"/>
                <w:sz w:val="22"/>
                <w:szCs w:val="22"/>
              </w:rPr>
            </w:pPr>
            <w:r w:rsidRPr="00BF4EDE">
              <w:rPr>
                <w:rFonts w:ascii="Times New Roman" w:eastAsia="Times New Roman" w:hAnsi="Times New Roman"/>
                <w:color w:val="000000"/>
                <w:sz w:val="22"/>
                <w:szCs w:val="22"/>
              </w:rPr>
              <w:t>Frequency</w:t>
            </w:r>
          </w:p>
        </w:tc>
        <w:tc>
          <w:tcPr>
            <w:tcW w:w="780" w:type="dxa"/>
            <w:shd w:val="clear" w:color="auto" w:fill="auto"/>
            <w:noWrap/>
            <w:vAlign w:val="center"/>
            <w:hideMark/>
          </w:tcPr>
          <w:p w14:paraId="08B0BAA6" w14:textId="77777777" w:rsidR="008B126B" w:rsidRPr="00BF4EDE" w:rsidRDefault="008B126B" w:rsidP="00FE7DFB">
            <w:pPr>
              <w:jc w:val="center"/>
              <w:rPr>
                <w:rFonts w:ascii="Times New Roman" w:eastAsiaTheme="minorEastAsia" w:hAnsi="Times New Roman"/>
                <w:color w:val="000000"/>
                <w:sz w:val="22"/>
                <w:szCs w:val="22"/>
              </w:rPr>
            </w:pPr>
            <w:r w:rsidRPr="00BF4EDE">
              <w:rPr>
                <w:rFonts w:ascii="Times New Roman" w:hAnsi="Times New Roman"/>
                <w:color w:val="000000"/>
                <w:sz w:val="22"/>
                <w:szCs w:val="22"/>
              </w:rPr>
              <w:t>RP/SI</w:t>
            </w:r>
          </w:p>
        </w:tc>
        <w:tc>
          <w:tcPr>
            <w:tcW w:w="656" w:type="dxa"/>
            <w:vAlign w:val="center"/>
          </w:tcPr>
          <w:p w14:paraId="7EF53104" w14:textId="77777777" w:rsidR="008B126B" w:rsidRPr="00BF4EDE" w:rsidRDefault="008B126B" w:rsidP="00FE7DFB">
            <w:pPr>
              <w:jc w:val="center"/>
              <w:rPr>
                <w:rFonts w:ascii="Times New Roman" w:eastAsiaTheme="minorEastAsia" w:hAnsi="Times New Roman"/>
                <w:color w:val="000000"/>
                <w:sz w:val="22"/>
                <w:szCs w:val="22"/>
              </w:rPr>
            </w:pPr>
            <w:r w:rsidRPr="00BF4EDE">
              <w:rPr>
                <w:rFonts w:ascii="Times New Roman" w:hAnsi="Times New Roman"/>
                <w:color w:val="000000"/>
                <w:sz w:val="22"/>
                <w:szCs w:val="22"/>
              </w:rPr>
              <w:t>2020-2021</w:t>
            </w:r>
          </w:p>
        </w:tc>
        <w:tc>
          <w:tcPr>
            <w:tcW w:w="1580" w:type="dxa"/>
            <w:shd w:val="clear" w:color="auto" w:fill="auto"/>
            <w:noWrap/>
            <w:vAlign w:val="center"/>
            <w:hideMark/>
          </w:tcPr>
          <w:p w14:paraId="1F6667EE" w14:textId="77777777" w:rsidR="008B126B" w:rsidRPr="00BF4EDE" w:rsidRDefault="008B126B" w:rsidP="00FE7DFB">
            <w:pPr>
              <w:jc w:val="center"/>
              <w:rPr>
                <w:rFonts w:ascii="Times New Roman" w:eastAsia="Times New Roman" w:hAnsi="Times New Roman"/>
                <w:color w:val="000000"/>
                <w:sz w:val="22"/>
                <w:szCs w:val="22"/>
              </w:rPr>
            </w:pPr>
            <w:r w:rsidRPr="00BF4EDE">
              <w:rPr>
                <w:rFonts w:ascii="Times New Roman" w:eastAsia="Times New Roman" w:hAnsi="Times New Roman"/>
                <w:color w:val="000000"/>
                <w:sz w:val="22"/>
                <w:szCs w:val="22"/>
              </w:rPr>
              <w:t>United States</w:t>
            </w:r>
          </w:p>
        </w:tc>
        <w:tc>
          <w:tcPr>
            <w:tcW w:w="1860" w:type="dxa"/>
            <w:shd w:val="clear" w:color="auto" w:fill="auto"/>
            <w:noWrap/>
            <w:vAlign w:val="center"/>
            <w:hideMark/>
          </w:tcPr>
          <w:p w14:paraId="36ADEA81" w14:textId="3F22C370" w:rsidR="008B126B" w:rsidRPr="00BF4EDE" w:rsidRDefault="00F75CDE" w:rsidP="00FE7DFB">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No</w:t>
            </w:r>
          </w:p>
        </w:tc>
        <w:tc>
          <w:tcPr>
            <w:tcW w:w="1950" w:type="dxa"/>
            <w:shd w:val="clear" w:color="auto" w:fill="auto"/>
            <w:noWrap/>
            <w:vAlign w:val="center"/>
            <w:hideMark/>
          </w:tcPr>
          <w:p w14:paraId="490A36EC" w14:textId="52A4DB8D" w:rsidR="008B126B" w:rsidRPr="00BF4EDE" w:rsidRDefault="008B126B" w:rsidP="00FE7DFB">
            <w:pPr>
              <w:jc w:val="center"/>
              <w:rPr>
                <w:rFonts w:ascii="Times New Roman" w:eastAsiaTheme="minorEastAsia" w:hAnsi="Times New Roman"/>
                <w:color w:val="000000"/>
                <w:sz w:val="22"/>
                <w:szCs w:val="22"/>
              </w:rPr>
            </w:pPr>
            <w:r w:rsidRPr="00BF4EDE">
              <w:rPr>
                <w:rFonts w:ascii="Times New Roman" w:eastAsia="Times New Roman" w:hAnsi="Times New Roman"/>
                <w:color w:val="000000"/>
                <w:sz w:val="22"/>
                <w:szCs w:val="22"/>
              </w:rPr>
              <w:t>BE</w:t>
            </w:r>
            <w:r w:rsidR="00F75CDE">
              <w:rPr>
                <w:rFonts w:ascii="Times New Roman" w:eastAsia="Times New Roman" w:hAnsi="Times New Roman"/>
                <w:color w:val="000000"/>
                <w:sz w:val="22"/>
                <w:szCs w:val="22"/>
              </w:rPr>
              <w:t xml:space="preserve"> (objective)</w:t>
            </w:r>
            <w:r w:rsidRPr="00BF4EDE">
              <w:rPr>
                <w:rFonts w:ascii="Times New Roman" w:eastAsia="Times New Roman" w:hAnsi="Times New Roman"/>
                <w:color w:val="000000"/>
                <w:sz w:val="22"/>
                <w:szCs w:val="22"/>
              </w:rPr>
              <w:t xml:space="preserve">, </w:t>
            </w:r>
            <w:r w:rsidRPr="00BF4EDE">
              <w:rPr>
                <w:rFonts w:ascii="Times New Roman" w:hAnsi="Times New Roman"/>
                <w:color w:val="000000"/>
                <w:sz w:val="22"/>
                <w:szCs w:val="22"/>
              </w:rPr>
              <w:t>SD</w:t>
            </w:r>
          </w:p>
        </w:tc>
      </w:tr>
      <w:tr w:rsidR="0091212F" w:rsidRPr="00BF4EDE" w14:paraId="1DEC4CA8" w14:textId="77777777" w:rsidTr="00BF04A1">
        <w:trPr>
          <w:trHeight w:val="346"/>
        </w:trPr>
        <w:tc>
          <w:tcPr>
            <w:tcW w:w="1147" w:type="dxa"/>
            <w:shd w:val="clear" w:color="auto" w:fill="auto"/>
            <w:noWrap/>
            <w:vAlign w:val="center"/>
            <w:hideMark/>
          </w:tcPr>
          <w:p w14:paraId="5F86CFF2" w14:textId="0C72238F" w:rsidR="008B126B" w:rsidRPr="00BF4EDE" w:rsidRDefault="008B126B" w:rsidP="00FE7DFB">
            <w:pPr>
              <w:jc w:val="center"/>
              <w:rPr>
                <w:rFonts w:ascii="Times New Roman" w:eastAsiaTheme="minorEastAsia" w:hAnsi="Times New Roman"/>
                <w:color w:val="000000"/>
                <w:sz w:val="22"/>
                <w:szCs w:val="22"/>
                <w:lang w:eastAsia="ko-KR"/>
              </w:rPr>
            </w:pPr>
            <w:r w:rsidRPr="00BF4EDE">
              <w:rPr>
                <w:rFonts w:ascii="Times New Roman" w:eastAsia="Times New Roman" w:hAnsi="Times New Roman"/>
                <w:color w:val="000000"/>
                <w:sz w:val="22"/>
                <w:szCs w:val="22"/>
              </w:rPr>
              <w:t>Younes et al. (2023)</w:t>
            </w:r>
            <w:r w:rsidRPr="00BF4EDE">
              <w:rPr>
                <w:rFonts w:ascii="Times New Roman" w:eastAsiaTheme="minorEastAsia" w:hAnsi="Times New Roman"/>
                <w:color w:val="000000"/>
                <w:sz w:val="22"/>
                <w:szCs w:val="22"/>
                <w:vertAlign w:val="superscript"/>
                <w:lang w:eastAsia="ko-KR"/>
              </w:rPr>
              <w:t>a</w:t>
            </w:r>
          </w:p>
        </w:tc>
        <w:tc>
          <w:tcPr>
            <w:tcW w:w="1341" w:type="dxa"/>
            <w:shd w:val="clear" w:color="auto" w:fill="auto"/>
            <w:noWrap/>
            <w:vAlign w:val="center"/>
            <w:hideMark/>
          </w:tcPr>
          <w:p w14:paraId="51E45147" w14:textId="77777777" w:rsidR="008B126B" w:rsidRPr="00BF4EDE" w:rsidRDefault="008B126B" w:rsidP="00FE7DFB">
            <w:pPr>
              <w:jc w:val="center"/>
              <w:rPr>
                <w:rFonts w:ascii="Times New Roman" w:eastAsia="Times New Roman" w:hAnsi="Times New Roman"/>
                <w:color w:val="000000"/>
                <w:sz w:val="22"/>
                <w:szCs w:val="22"/>
              </w:rPr>
            </w:pPr>
            <w:r w:rsidRPr="00BF4EDE">
              <w:rPr>
                <w:rFonts w:ascii="Times New Roman" w:eastAsia="Times New Roman" w:hAnsi="Times New Roman"/>
                <w:color w:val="000000"/>
                <w:sz w:val="22"/>
                <w:szCs w:val="22"/>
              </w:rPr>
              <w:t>Frequency</w:t>
            </w:r>
          </w:p>
        </w:tc>
        <w:tc>
          <w:tcPr>
            <w:tcW w:w="780" w:type="dxa"/>
            <w:shd w:val="clear" w:color="auto" w:fill="auto"/>
            <w:noWrap/>
            <w:vAlign w:val="center"/>
            <w:hideMark/>
          </w:tcPr>
          <w:p w14:paraId="3F0EECE1" w14:textId="77777777" w:rsidR="008B126B" w:rsidRPr="00BF4EDE" w:rsidRDefault="008B126B" w:rsidP="00FE7DFB">
            <w:pPr>
              <w:jc w:val="center"/>
              <w:rPr>
                <w:rFonts w:ascii="Times New Roman" w:eastAsiaTheme="minorEastAsia" w:hAnsi="Times New Roman"/>
                <w:color w:val="000000"/>
                <w:sz w:val="22"/>
                <w:szCs w:val="22"/>
              </w:rPr>
            </w:pPr>
            <w:r w:rsidRPr="00BF4EDE">
              <w:rPr>
                <w:rFonts w:ascii="Times New Roman" w:hAnsi="Times New Roman"/>
                <w:color w:val="000000"/>
                <w:sz w:val="22"/>
                <w:szCs w:val="22"/>
              </w:rPr>
              <w:t>SI</w:t>
            </w:r>
          </w:p>
        </w:tc>
        <w:tc>
          <w:tcPr>
            <w:tcW w:w="656" w:type="dxa"/>
            <w:vAlign w:val="center"/>
          </w:tcPr>
          <w:p w14:paraId="3AA256A5" w14:textId="77777777" w:rsidR="008B126B" w:rsidRPr="00BF4EDE" w:rsidRDefault="008B126B" w:rsidP="00FE7DFB">
            <w:pPr>
              <w:jc w:val="center"/>
              <w:rPr>
                <w:rFonts w:ascii="Times New Roman" w:eastAsiaTheme="minorEastAsia" w:hAnsi="Times New Roman"/>
                <w:color w:val="000000"/>
                <w:sz w:val="22"/>
                <w:szCs w:val="22"/>
              </w:rPr>
            </w:pPr>
            <w:r w:rsidRPr="00BF4EDE">
              <w:rPr>
                <w:rFonts w:ascii="Times New Roman" w:hAnsi="Times New Roman"/>
                <w:color w:val="000000"/>
                <w:sz w:val="22"/>
                <w:szCs w:val="22"/>
              </w:rPr>
              <w:t>2021-2022</w:t>
            </w:r>
          </w:p>
        </w:tc>
        <w:tc>
          <w:tcPr>
            <w:tcW w:w="1580" w:type="dxa"/>
            <w:shd w:val="clear" w:color="auto" w:fill="auto"/>
            <w:noWrap/>
            <w:vAlign w:val="center"/>
            <w:hideMark/>
          </w:tcPr>
          <w:p w14:paraId="00E2C8CB" w14:textId="77777777" w:rsidR="008B126B" w:rsidRPr="00BF4EDE" w:rsidRDefault="008B126B" w:rsidP="00FE7DFB">
            <w:pPr>
              <w:jc w:val="center"/>
              <w:rPr>
                <w:rFonts w:ascii="Times New Roman" w:eastAsia="Times New Roman" w:hAnsi="Times New Roman"/>
                <w:color w:val="000000"/>
                <w:sz w:val="22"/>
                <w:szCs w:val="22"/>
              </w:rPr>
            </w:pPr>
            <w:r w:rsidRPr="00BF4EDE">
              <w:rPr>
                <w:rFonts w:ascii="Times New Roman" w:eastAsia="Times New Roman" w:hAnsi="Times New Roman"/>
                <w:color w:val="000000"/>
                <w:sz w:val="22"/>
                <w:szCs w:val="22"/>
              </w:rPr>
              <w:t>United Kingdom</w:t>
            </w:r>
          </w:p>
        </w:tc>
        <w:tc>
          <w:tcPr>
            <w:tcW w:w="1860" w:type="dxa"/>
            <w:shd w:val="clear" w:color="auto" w:fill="auto"/>
            <w:noWrap/>
            <w:vAlign w:val="center"/>
            <w:hideMark/>
          </w:tcPr>
          <w:p w14:paraId="173DC6DA" w14:textId="160ACDF3" w:rsidR="008B126B" w:rsidRPr="00BF4EDE" w:rsidRDefault="00F75CDE" w:rsidP="00FE7DFB">
            <w:pPr>
              <w:jc w:val="center"/>
              <w:rPr>
                <w:rFonts w:ascii="Times New Roman" w:eastAsia="Times New Roman" w:hAnsi="Times New Roman"/>
                <w:color w:val="000000"/>
                <w:sz w:val="22"/>
                <w:szCs w:val="22"/>
              </w:rPr>
            </w:pPr>
            <w:r>
              <w:rPr>
                <w:rFonts w:ascii="Times New Roman" w:eastAsia="Times New Roman" w:hAnsi="Times New Roman"/>
                <w:color w:val="000000"/>
                <w:sz w:val="22"/>
                <w:szCs w:val="22"/>
              </w:rPr>
              <w:t>No</w:t>
            </w:r>
          </w:p>
        </w:tc>
        <w:tc>
          <w:tcPr>
            <w:tcW w:w="1950" w:type="dxa"/>
            <w:shd w:val="clear" w:color="auto" w:fill="auto"/>
            <w:noWrap/>
            <w:vAlign w:val="center"/>
            <w:hideMark/>
          </w:tcPr>
          <w:p w14:paraId="38024807" w14:textId="513F7E3C" w:rsidR="008B126B" w:rsidRPr="00BF4EDE" w:rsidRDefault="00F75CDE" w:rsidP="00141DA5">
            <w:pPr>
              <w:jc w:val="center"/>
              <w:rPr>
                <w:rFonts w:ascii="Times New Roman" w:eastAsia="Times New Roman" w:hAnsi="Times New Roman"/>
                <w:color w:val="000000"/>
                <w:sz w:val="22"/>
                <w:szCs w:val="22"/>
              </w:rPr>
            </w:pPr>
            <w:r>
              <w:rPr>
                <w:rFonts w:ascii="Times New Roman" w:hAnsi="Times New Roman"/>
                <w:color w:val="000000"/>
                <w:sz w:val="22"/>
                <w:szCs w:val="22"/>
              </w:rPr>
              <w:t xml:space="preserve">Employment status, </w:t>
            </w:r>
            <w:r w:rsidR="008B126B" w:rsidRPr="00BF4EDE">
              <w:rPr>
                <w:rFonts w:ascii="Times New Roman" w:hAnsi="Times New Roman"/>
                <w:color w:val="000000"/>
                <w:sz w:val="22"/>
                <w:szCs w:val="22"/>
              </w:rPr>
              <w:t>WFH</w:t>
            </w:r>
            <w:r w:rsidR="008E15B0">
              <w:rPr>
                <w:rFonts w:ascii="Times New Roman" w:eastAsia="Times New Roman" w:hAnsi="Times New Roman"/>
                <w:color w:val="000000"/>
                <w:sz w:val="22"/>
                <w:szCs w:val="22"/>
              </w:rPr>
              <w:t xml:space="preserve"> (or not) during the pandemic </w:t>
            </w:r>
          </w:p>
        </w:tc>
      </w:tr>
    </w:tbl>
    <w:p w14:paraId="2B914A14" w14:textId="7901F287" w:rsidR="00325421" w:rsidRPr="003518AB" w:rsidRDefault="00A9401E" w:rsidP="003518AB">
      <w:pPr>
        <w:jc w:val="both"/>
        <w:rPr>
          <w:rFonts w:ascii="Times New Roman" w:eastAsiaTheme="minorEastAsia" w:hAnsi="Times New Roman"/>
          <w:sz w:val="20"/>
          <w:lang w:eastAsia="ko-KR"/>
        </w:rPr>
      </w:pPr>
      <w:r w:rsidRPr="003518AB">
        <w:rPr>
          <w:rFonts w:ascii="Times New Roman" w:eastAsiaTheme="minorEastAsia" w:hAnsi="Times New Roman"/>
          <w:sz w:val="20"/>
          <w:vertAlign w:val="superscript"/>
          <w:lang w:eastAsia="ko-KR"/>
        </w:rPr>
        <w:t>a</w:t>
      </w:r>
      <w:r w:rsidR="006E415B" w:rsidRPr="003518AB">
        <w:rPr>
          <w:rFonts w:ascii="Times New Roman" w:eastAsiaTheme="minorEastAsia" w:hAnsi="Times New Roman"/>
          <w:sz w:val="20"/>
          <w:vertAlign w:val="superscript"/>
          <w:lang w:eastAsia="ko-KR"/>
        </w:rPr>
        <w:t xml:space="preserve"> </w:t>
      </w:r>
      <w:r w:rsidRPr="003518AB">
        <w:rPr>
          <w:rFonts w:ascii="Times New Roman" w:eastAsiaTheme="minorEastAsia" w:hAnsi="Times New Roman"/>
          <w:sz w:val="20"/>
          <w:lang w:eastAsia="ko-KR"/>
        </w:rPr>
        <w:t xml:space="preserve">Studies </w:t>
      </w:r>
      <w:r w:rsidR="00B47707" w:rsidRPr="003518AB">
        <w:rPr>
          <w:rFonts w:ascii="Times New Roman" w:eastAsiaTheme="minorEastAsia" w:hAnsi="Times New Roman"/>
          <w:sz w:val="20"/>
          <w:lang w:eastAsia="ko-KR"/>
        </w:rPr>
        <w:t>covered walking behavior after the pandemic, but not focused on older adults</w:t>
      </w:r>
      <w:r w:rsidR="00221473" w:rsidRPr="003518AB">
        <w:rPr>
          <w:rFonts w:ascii="Times New Roman" w:eastAsiaTheme="minorEastAsia" w:hAnsi="Times New Roman"/>
          <w:sz w:val="20"/>
          <w:lang w:eastAsia="ko-KR"/>
        </w:rPr>
        <w:t>.</w:t>
      </w:r>
    </w:p>
    <w:p w14:paraId="731E04A0" w14:textId="5AC2124A" w:rsidR="00A9401E" w:rsidRPr="003518AB" w:rsidRDefault="00A9401E" w:rsidP="003518AB">
      <w:pPr>
        <w:jc w:val="both"/>
        <w:rPr>
          <w:rFonts w:ascii="Times New Roman" w:eastAsiaTheme="minorEastAsia" w:hAnsi="Times New Roman"/>
          <w:sz w:val="20"/>
          <w:lang w:eastAsia="ko-KR"/>
        </w:rPr>
      </w:pPr>
      <w:r w:rsidRPr="003518AB">
        <w:rPr>
          <w:rFonts w:ascii="Times New Roman" w:eastAsiaTheme="minorEastAsia" w:hAnsi="Times New Roman"/>
          <w:sz w:val="20"/>
          <w:vertAlign w:val="superscript"/>
          <w:lang w:eastAsia="ko-KR"/>
        </w:rPr>
        <w:t>b</w:t>
      </w:r>
      <w:r w:rsidR="006E415B" w:rsidRPr="003518AB">
        <w:rPr>
          <w:rFonts w:ascii="Times New Roman" w:eastAsiaTheme="minorEastAsia" w:hAnsi="Times New Roman"/>
          <w:sz w:val="20"/>
          <w:vertAlign w:val="superscript"/>
          <w:lang w:eastAsia="ko-KR"/>
        </w:rPr>
        <w:t xml:space="preserve"> </w:t>
      </w:r>
      <w:r w:rsidR="00B47707" w:rsidRPr="003518AB">
        <w:rPr>
          <w:rFonts w:ascii="Times New Roman" w:eastAsiaTheme="minorEastAsia" w:hAnsi="Times New Roman"/>
          <w:sz w:val="20"/>
          <w:lang w:eastAsia="ko-KR"/>
        </w:rPr>
        <w:t xml:space="preserve">RP = Revealed </w:t>
      </w:r>
      <w:r w:rsidR="005A72B6" w:rsidRPr="003518AB">
        <w:rPr>
          <w:rFonts w:ascii="Times New Roman" w:eastAsiaTheme="minorEastAsia" w:hAnsi="Times New Roman"/>
          <w:sz w:val="20"/>
          <w:lang w:eastAsia="ko-KR"/>
        </w:rPr>
        <w:t>preference, SI = Stated intention</w:t>
      </w:r>
    </w:p>
    <w:p w14:paraId="044D92C6" w14:textId="6244746D" w:rsidR="00A9401E" w:rsidRPr="003518AB" w:rsidRDefault="00A9401E" w:rsidP="003518AB">
      <w:pPr>
        <w:jc w:val="both"/>
        <w:rPr>
          <w:rFonts w:ascii="Times New Roman" w:eastAsiaTheme="minorEastAsia" w:hAnsi="Times New Roman"/>
          <w:sz w:val="20"/>
          <w:lang w:eastAsia="ko-KR"/>
        </w:rPr>
      </w:pPr>
      <w:r w:rsidRPr="003518AB">
        <w:rPr>
          <w:rFonts w:ascii="Times New Roman" w:eastAsiaTheme="minorEastAsia" w:hAnsi="Times New Roman"/>
          <w:sz w:val="20"/>
          <w:vertAlign w:val="superscript"/>
          <w:lang w:eastAsia="ko-KR"/>
        </w:rPr>
        <w:t>c</w:t>
      </w:r>
      <w:r w:rsidR="006E415B" w:rsidRPr="003518AB">
        <w:rPr>
          <w:rFonts w:ascii="Times New Roman" w:eastAsiaTheme="minorEastAsia" w:hAnsi="Times New Roman"/>
          <w:sz w:val="20"/>
          <w:vertAlign w:val="superscript"/>
          <w:lang w:eastAsia="ko-KR"/>
        </w:rPr>
        <w:t xml:space="preserve"> </w:t>
      </w:r>
      <w:r w:rsidR="005A72B6" w:rsidRPr="003518AB">
        <w:rPr>
          <w:rFonts w:ascii="Times New Roman" w:eastAsiaTheme="minorEastAsia" w:hAnsi="Times New Roman"/>
          <w:sz w:val="20"/>
          <w:lang w:eastAsia="ko-KR"/>
        </w:rPr>
        <w:t xml:space="preserve">BE = Built environment, SD = </w:t>
      </w:r>
      <w:r w:rsidR="00E74F04" w:rsidRPr="003518AB">
        <w:rPr>
          <w:rFonts w:ascii="Times New Roman" w:eastAsiaTheme="minorEastAsia" w:hAnsi="Times New Roman"/>
          <w:sz w:val="20"/>
          <w:lang w:eastAsia="ko-KR"/>
        </w:rPr>
        <w:t>Sociodemographic</w:t>
      </w:r>
      <w:r w:rsidR="005A72B6" w:rsidRPr="003518AB">
        <w:rPr>
          <w:rFonts w:ascii="Times New Roman" w:eastAsiaTheme="minorEastAsia" w:hAnsi="Times New Roman"/>
          <w:sz w:val="20"/>
          <w:lang w:eastAsia="ko-KR"/>
        </w:rPr>
        <w:t xml:space="preserve">, </w:t>
      </w:r>
      <w:r w:rsidR="009D3585" w:rsidRPr="003518AB">
        <w:rPr>
          <w:rFonts w:ascii="Times New Roman" w:eastAsiaTheme="minorEastAsia" w:hAnsi="Times New Roman"/>
          <w:sz w:val="20"/>
          <w:lang w:eastAsia="ko-KR"/>
        </w:rPr>
        <w:t>SES = Socioeconomic status, WFH = Work from home</w:t>
      </w:r>
    </w:p>
    <w:p w14:paraId="196A69F4" w14:textId="652677AC" w:rsidR="00AB3EAC" w:rsidRPr="003518AB" w:rsidRDefault="00AB3EAC" w:rsidP="003518AB">
      <w:pPr>
        <w:jc w:val="both"/>
        <w:rPr>
          <w:rFonts w:ascii="Times New Roman" w:eastAsiaTheme="minorEastAsia" w:hAnsi="Times New Roman"/>
          <w:sz w:val="22"/>
          <w:szCs w:val="18"/>
          <w:lang w:eastAsia="ko-KR"/>
        </w:rPr>
      </w:pPr>
      <w:r w:rsidRPr="003518AB">
        <w:rPr>
          <w:rFonts w:ascii="Times New Roman" w:eastAsiaTheme="minorEastAsia" w:hAnsi="Times New Roman"/>
          <w:sz w:val="20"/>
          <w:vertAlign w:val="superscript"/>
          <w:lang w:eastAsia="ko-KR"/>
        </w:rPr>
        <w:t>d</w:t>
      </w:r>
      <w:r w:rsidR="006E415B" w:rsidRPr="003518AB">
        <w:rPr>
          <w:rFonts w:ascii="Times New Roman" w:eastAsiaTheme="minorEastAsia" w:hAnsi="Times New Roman"/>
          <w:sz w:val="20"/>
          <w:vertAlign w:val="superscript"/>
          <w:lang w:eastAsia="ko-KR"/>
        </w:rPr>
        <w:t xml:space="preserve"> </w:t>
      </w:r>
      <w:r w:rsidRPr="003518AB">
        <w:rPr>
          <w:rFonts w:ascii="Times New Roman" w:eastAsiaTheme="minorEastAsia" w:hAnsi="Times New Roman"/>
          <w:sz w:val="20"/>
          <w:lang w:eastAsia="ko-KR"/>
        </w:rPr>
        <w:t>The dependent outcome was whether an individual walked 10 minutes or more in the week for utilitarian purposes and for recreational purposes</w:t>
      </w:r>
      <w:r w:rsidR="003518AB" w:rsidRPr="003518AB">
        <w:rPr>
          <w:rFonts w:ascii="Times New Roman" w:eastAsiaTheme="minorEastAsia" w:hAnsi="Times New Roman"/>
          <w:sz w:val="20"/>
          <w:lang w:eastAsia="ko-KR"/>
        </w:rPr>
        <w:t>.</w:t>
      </w:r>
      <w:r w:rsidRPr="003518AB">
        <w:rPr>
          <w:rFonts w:ascii="Times New Roman" w:eastAsiaTheme="minorEastAsia" w:hAnsi="Times New Roman"/>
          <w:sz w:val="22"/>
          <w:szCs w:val="18"/>
          <w:lang w:eastAsia="ko-KR"/>
        </w:rPr>
        <w:t xml:space="preserve"> </w:t>
      </w:r>
    </w:p>
    <w:p w14:paraId="28041407" w14:textId="77777777" w:rsidR="000E0D83" w:rsidRPr="003518AB" w:rsidRDefault="000E0D83" w:rsidP="003518AB">
      <w:pPr>
        <w:ind w:firstLine="720"/>
        <w:jc w:val="both"/>
        <w:rPr>
          <w:rFonts w:ascii="Times New Roman" w:hAnsi="Times New Roman"/>
          <w:szCs w:val="24"/>
        </w:rPr>
      </w:pPr>
    </w:p>
    <w:p w14:paraId="2133E28E" w14:textId="71EAB860" w:rsidR="004D5323" w:rsidRPr="00410C8F" w:rsidRDefault="00A65D4C" w:rsidP="003518AB">
      <w:pPr>
        <w:autoSpaceDE w:val="0"/>
        <w:autoSpaceDN w:val="0"/>
        <w:adjustRightInd w:val="0"/>
        <w:ind w:firstLine="720"/>
        <w:jc w:val="both"/>
        <w:rPr>
          <w:rFonts w:ascii="Times New Roman" w:eastAsia="Malgun Gothic" w:hAnsi="Times New Roman"/>
          <w:color w:val="000000"/>
          <w:sz w:val="20"/>
        </w:rPr>
      </w:pPr>
      <w:bookmarkStart w:id="26" w:name="_Hlk169956781"/>
      <w:r w:rsidRPr="003518AB">
        <w:rPr>
          <w:rFonts w:ascii="Times New Roman" w:hAnsi="Times New Roman"/>
          <w:szCs w:val="24"/>
        </w:rPr>
        <w:t xml:space="preserve">In this study, </w:t>
      </w:r>
      <w:r w:rsidR="0006405F" w:rsidRPr="003518AB">
        <w:rPr>
          <w:rFonts w:ascii="Times New Roman" w:hAnsi="Times New Roman"/>
          <w:szCs w:val="24"/>
        </w:rPr>
        <w:t xml:space="preserve">and relative to the many studies summarized in Table 1, </w:t>
      </w:r>
      <w:r w:rsidRPr="003518AB">
        <w:rPr>
          <w:rFonts w:ascii="Times New Roman" w:hAnsi="Times New Roman"/>
          <w:szCs w:val="24"/>
        </w:rPr>
        <w:t xml:space="preserve">we </w:t>
      </w:r>
      <w:r w:rsidR="00663DF1" w:rsidRPr="003518AB">
        <w:rPr>
          <w:rFonts w:ascii="Times New Roman" w:hAnsi="Times New Roman"/>
          <w:szCs w:val="24"/>
        </w:rPr>
        <w:t xml:space="preserve">offer a novel analytic lens </w:t>
      </w:r>
      <w:r w:rsidRPr="003518AB">
        <w:rPr>
          <w:rFonts w:ascii="Times New Roman" w:hAnsi="Times New Roman"/>
          <w:szCs w:val="24"/>
        </w:rPr>
        <w:t xml:space="preserve">to </w:t>
      </w:r>
      <w:r w:rsidR="00663DF1" w:rsidRPr="003518AB">
        <w:rPr>
          <w:rFonts w:ascii="Times New Roman" w:hAnsi="Times New Roman"/>
          <w:szCs w:val="24"/>
        </w:rPr>
        <w:t>understan</w:t>
      </w:r>
      <w:r w:rsidRPr="003518AB">
        <w:rPr>
          <w:rFonts w:ascii="Times New Roman" w:hAnsi="Times New Roman"/>
          <w:szCs w:val="24"/>
        </w:rPr>
        <w:t>d</w:t>
      </w:r>
      <w:r w:rsidR="00663DF1" w:rsidRPr="003518AB">
        <w:rPr>
          <w:rFonts w:ascii="Times New Roman" w:hAnsi="Times New Roman"/>
          <w:szCs w:val="24"/>
        </w:rPr>
        <w:t xml:space="preserve"> </w:t>
      </w:r>
      <w:r w:rsidRPr="003518AB">
        <w:rPr>
          <w:rFonts w:ascii="Times New Roman" w:hAnsi="Times New Roman"/>
          <w:szCs w:val="24"/>
        </w:rPr>
        <w:t>older adults’</w:t>
      </w:r>
      <w:r w:rsidRPr="00BF04A1">
        <w:rPr>
          <w:rFonts w:ascii="Times New Roman" w:hAnsi="Times New Roman"/>
          <w:szCs w:val="24"/>
        </w:rPr>
        <w:t xml:space="preserve"> </w:t>
      </w:r>
      <w:r w:rsidR="00663DF1" w:rsidRPr="00587212">
        <w:rPr>
          <w:rFonts w:ascii="Times New Roman" w:hAnsi="Times New Roman"/>
          <w:szCs w:val="24"/>
        </w:rPr>
        <w:t>walking behaviors</w:t>
      </w:r>
      <w:r w:rsidRPr="00587212">
        <w:rPr>
          <w:rFonts w:ascii="Times New Roman" w:hAnsi="Times New Roman"/>
          <w:szCs w:val="24"/>
        </w:rPr>
        <w:t>. In doing so,</w:t>
      </w:r>
      <w:r w:rsidR="00663DF1" w:rsidRPr="00587212">
        <w:rPr>
          <w:rFonts w:ascii="Times New Roman" w:hAnsi="Times New Roman"/>
          <w:szCs w:val="24"/>
        </w:rPr>
        <w:t xml:space="preserve"> </w:t>
      </w:r>
      <w:r w:rsidRPr="00587212">
        <w:rPr>
          <w:rFonts w:ascii="Times New Roman" w:hAnsi="Times New Roman"/>
          <w:szCs w:val="24"/>
        </w:rPr>
        <w:t>we contribute to the extant literature in many salient ways</w:t>
      </w:r>
      <w:r w:rsidR="00663DF1" w:rsidRPr="00587212">
        <w:rPr>
          <w:rFonts w:ascii="Times New Roman" w:hAnsi="Times New Roman"/>
          <w:szCs w:val="24"/>
        </w:rPr>
        <w:t xml:space="preserve">. </w:t>
      </w:r>
      <w:r w:rsidR="00663DF1" w:rsidRPr="00587212">
        <w:rPr>
          <w:rFonts w:ascii="Times New Roman" w:eastAsiaTheme="minorEastAsia" w:hAnsi="Times New Roman"/>
          <w:u w:val="single"/>
          <w:lang w:eastAsia="ko-KR"/>
        </w:rPr>
        <w:t>First</w:t>
      </w:r>
      <w:r w:rsidR="00663DF1" w:rsidRPr="00587212">
        <w:rPr>
          <w:rFonts w:ascii="Times New Roman" w:eastAsiaTheme="minorEastAsia" w:hAnsi="Times New Roman"/>
          <w:lang w:eastAsia="ko-KR"/>
        </w:rPr>
        <w:t xml:space="preserve">, our study </w:t>
      </w:r>
      <w:r w:rsidRPr="00587212">
        <w:rPr>
          <w:rFonts w:ascii="Times New Roman" w:eastAsiaTheme="minorEastAsia" w:hAnsi="Times New Roman"/>
          <w:lang w:eastAsia="ko-KR"/>
        </w:rPr>
        <w:t xml:space="preserve">uses revealed preference data </w:t>
      </w:r>
      <w:r w:rsidR="00663DF1" w:rsidRPr="00587212">
        <w:rPr>
          <w:rFonts w:ascii="Times New Roman" w:eastAsiaTheme="minorEastAsia" w:hAnsi="Times New Roman"/>
          <w:lang w:eastAsia="ko-KR"/>
        </w:rPr>
        <w:t xml:space="preserve">on the walking habits of older adults </w:t>
      </w:r>
      <w:r w:rsidRPr="00587212">
        <w:rPr>
          <w:rFonts w:ascii="Times New Roman" w:eastAsiaTheme="minorEastAsia" w:hAnsi="Times New Roman"/>
          <w:lang w:eastAsia="ko-KR"/>
        </w:rPr>
        <w:t xml:space="preserve">from July 2022, </w:t>
      </w:r>
      <w:r w:rsidR="0006405F" w:rsidRPr="00587212">
        <w:rPr>
          <w:rFonts w:ascii="Times New Roman" w:eastAsiaTheme="minorEastAsia" w:hAnsi="Times New Roman"/>
          <w:lang w:eastAsia="ko-KR"/>
        </w:rPr>
        <w:t>at a time when</w:t>
      </w:r>
      <w:r w:rsidRPr="00587212">
        <w:rPr>
          <w:rFonts w:ascii="Times New Roman" w:eastAsiaTheme="minorEastAsia" w:hAnsi="Times New Roman"/>
          <w:lang w:eastAsia="ko-KR"/>
        </w:rPr>
        <w:t xml:space="preserve"> the worst of the pandemic was clearly in the </w:t>
      </w:r>
      <w:r w:rsidR="00204304" w:rsidRPr="00587212">
        <w:rPr>
          <w:rFonts w:ascii="Times New Roman" w:eastAsiaTheme="minorEastAsia" w:hAnsi="Times New Roman"/>
          <w:lang w:eastAsia="ko-KR"/>
        </w:rPr>
        <w:t>rear-view</w:t>
      </w:r>
      <w:r w:rsidRPr="00587212">
        <w:rPr>
          <w:rFonts w:ascii="Times New Roman" w:eastAsiaTheme="minorEastAsia" w:hAnsi="Times New Roman"/>
          <w:lang w:eastAsia="ko-KR"/>
        </w:rPr>
        <w:t xml:space="preserve"> mirror. Thus, our analysis should be able to </w:t>
      </w:r>
      <w:r w:rsidR="008D048C" w:rsidRPr="00587212">
        <w:rPr>
          <w:rFonts w:ascii="Times New Roman" w:eastAsiaTheme="minorEastAsia" w:hAnsi="Times New Roman"/>
          <w:lang w:eastAsia="ko-KR"/>
        </w:rPr>
        <w:t xml:space="preserve">provide a more stable and </w:t>
      </w:r>
      <w:r w:rsidRPr="00587212">
        <w:rPr>
          <w:rFonts w:ascii="Times New Roman" w:eastAsiaTheme="minorEastAsia" w:hAnsi="Times New Roman"/>
          <w:lang w:eastAsia="ko-KR"/>
        </w:rPr>
        <w:t xml:space="preserve">timely characterization </w:t>
      </w:r>
      <w:r w:rsidR="008D048C" w:rsidRPr="00587212">
        <w:rPr>
          <w:rFonts w:ascii="Times New Roman" w:eastAsiaTheme="minorEastAsia" w:hAnsi="Times New Roman"/>
          <w:lang w:eastAsia="ko-KR"/>
        </w:rPr>
        <w:t xml:space="preserve">of post-pandemic walking behaviors. </w:t>
      </w:r>
      <w:r w:rsidR="008E3673" w:rsidRPr="00587212">
        <w:rPr>
          <w:rFonts w:ascii="Times New Roman" w:hAnsi="Times New Roman"/>
        </w:rPr>
        <w:t xml:space="preserve">Our analysis is </w:t>
      </w:r>
      <w:r w:rsidR="00BF4EDE" w:rsidRPr="00587212">
        <w:rPr>
          <w:rFonts w:ascii="Times New Roman" w:hAnsi="Times New Roman"/>
        </w:rPr>
        <w:t xml:space="preserve">particularly relevant given the rapidly aging population in the United States </w:t>
      </w:r>
      <w:r w:rsidR="003123FA" w:rsidRPr="00587212">
        <w:rPr>
          <w:rFonts w:ascii="Times New Roman" w:hAnsi="Times New Roman"/>
        </w:rPr>
        <w:fldChar w:fldCharType="begin"/>
      </w:r>
      <w:r w:rsidR="003123FA" w:rsidRPr="00587212">
        <w:rPr>
          <w:rFonts w:ascii="Times New Roman" w:hAnsi="Times New Roman"/>
        </w:rPr>
        <w:instrText xml:space="preserve"> ADDIN ZOTERO_ITEM CSL_CITATION {"citationID":"RUGOZTXk","properties":{"formattedCitation":"(Caplan, 2023)","plainCitation":"(Caplan, 2023)","noteIndex":0},"citationItems":[{"id":1177,"uris":["http://zotero.org/users/10132210/items/AY368235"],"itemData":{"id":1177,"type":"post-weblog","container-title":"United States Census Bureau","title":"U.S. Older Population Grew From 2010 to 2020 at Fastest Rate Since 1880 to 1890","URL":"https://www.census.gov/library/stories/2023/05/2020-census-united-states-older-population-grew.html","author":[{"family":"Caplan","given":"Zoe"}],"accessed":{"date-parts":[["2024",6,5]]},"issued":{"date-parts":[["2023"]]}}}],"schema":"https://github.com/citation-style-language/schema/raw/master/csl-citation.json"} </w:instrText>
      </w:r>
      <w:r w:rsidR="003123FA" w:rsidRPr="00587212">
        <w:rPr>
          <w:rFonts w:ascii="Times New Roman" w:hAnsi="Times New Roman"/>
        </w:rPr>
        <w:fldChar w:fldCharType="separate"/>
      </w:r>
      <w:r w:rsidR="003123FA" w:rsidRPr="00587212">
        <w:rPr>
          <w:rFonts w:ascii="Times New Roman" w:hAnsi="Times New Roman"/>
        </w:rPr>
        <w:t>(Caplan, 2023)</w:t>
      </w:r>
      <w:r w:rsidR="003123FA" w:rsidRPr="00587212">
        <w:rPr>
          <w:rFonts w:ascii="Times New Roman" w:hAnsi="Times New Roman"/>
        </w:rPr>
        <w:fldChar w:fldCharType="end"/>
      </w:r>
      <w:r w:rsidR="00663DF1" w:rsidRPr="00587212">
        <w:rPr>
          <w:rFonts w:ascii="Times New Roman" w:eastAsiaTheme="minorEastAsia" w:hAnsi="Times New Roman"/>
          <w:lang w:eastAsia="ko-KR"/>
        </w:rPr>
        <w:t>.</w:t>
      </w:r>
      <w:r w:rsidR="00FC597A" w:rsidRPr="00587212">
        <w:rPr>
          <w:rFonts w:ascii="Times New Roman" w:eastAsiaTheme="minorEastAsia" w:hAnsi="Times New Roman"/>
          <w:lang w:eastAsia="ko-KR"/>
        </w:rPr>
        <w:t xml:space="preserve"> </w:t>
      </w:r>
      <w:r w:rsidR="008E3673" w:rsidRPr="00587212">
        <w:rPr>
          <w:rFonts w:ascii="Times New Roman" w:eastAsiaTheme="minorEastAsia" w:hAnsi="Times New Roman"/>
          <w:u w:val="single"/>
          <w:lang w:eastAsia="ko-KR"/>
        </w:rPr>
        <w:t>Second</w:t>
      </w:r>
      <w:r w:rsidR="00FC597A" w:rsidRPr="00587212">
        <w:rPr>
          <w:rFonts w:ascii="Times New Roman" w:eastAsiaTheme="minorEastAsia" w:hAnsi="Times New Roman"/>
          <w:lang w:eastAsia="ko-KR"/>
        </w:rPr>
        <w:t xml:space="preserve">, </w:t>
      </w:r>
      <w:r w:rsidR="00853655" w:rsidRPr="00587212">
        <w:rPr>
          <w:rFonts w:ascii="Times New Roman" w:eastAsiaTheme="minorEastAsia" w:hAnsi="Times New Roman"/>
          <w:lang w:eastAsia="ko-KR"/>
        </w:rPr>
        <w:t xml:space="preserve">to our knowledge, this is the first study to jointly model </w:t>
      </w:r>
      <w:r w:rsidR="00486A18" w:rsidRPr="00587212">
        <w:rPr>
          <w:rFonts w:ascii="Times New Roman" w:eastAsiaTheme="minorEastAsia" w:hAnsi="Times New Roman"/>
          <w:lang w:eastAsia="ko-KR"/>
        </w:rPr>
        <w:t xml:space="preserve">walking </w:t>
      </w:r>
      <w:r w:rsidR="00853655" w:rsidRPr="00587212">
        <w:rPr>
          <w:rFonts w:ascii="Times New Roman" w:eastAsiaTheme="minorEastAsia" w:hAnsi="Times New Roman"/>
          <w:lang w:eastAsia="ko-KR"/>
        </w:rPr>
        <w:t xml:space="preserve">frequency, duration, and </w:t>
      </w:r>
      <w:r w:rsidR="008E3673" w:rsidRPr="00587212">
        <w:rPr>
          <w:rFonts w:ascii="Times New Roman" w:eastAsiaTheme="minorEastAsia" w:hAnsi="Times New Roman"/>
          <w:lang w:eastAsia="ko-KR"/>
        </w:rPr>
        <w:t xml:space="preserve">social </w:t>
      </w:r>
      <w:r w:rsidR="00853655" w:rsidRPr="00587212">
        <w:rPr>
          <w:rFonts w:ascii="Times New Roman" w:eastAsiaTheme="minorEastAsia" w:hAnsi="Times New Roman"/>
          <w:lang w:eastAsia="ko-KR"/>
        </w:rPr>
        <w:t>companionship</w:t>
      </w:r>
      <w:r w:rsidR="00486A18" w:rsidRPr="00587212">
        <w:rPr>
          <w:rFonts w:ascii="Times New Roman" w:eastAsiaTheme="minorEastAsia" w:hAnsi="Times New Roman"/>
          <w:lang w:eastAsia="ko-KR"/>
        </w:rPr>
        <w:t xml:space="preserve">. Earlier studies, as should be clear from our earlier discussion and except for Yang et al. (2022), consider a single dimension, sometimes using another dimension (such as frequency or social companionship) as an exogenous variable. </w:t>
      </w:r>
      <w:r w:rsidR="004D5323" w:rsidRPr="00587212">
        <w:rPr>
          <w:rFonts w:ascii="Times New Roman" w:eastAsiaTheme="minorEastAsia" w:hAnsi="Times New Roman"/>
          <w:u w:val="single"/>
          <w:lang w:eastAsia="ko-KR"/>
        </w:rPr>
        <w:t>Third</w:t>
      </w:r>
      <w:r w:rsidR="004D5323" w:rsidRPr="00587212">
        <w:rPr>
          <w:rFonts w:ascii="Times New Roman" w:eastAsiaTheme="minorEastAsia" w:hAnsi="Times New Roman"/>
          <w:lang w:eastAsia="ko-KR"/>
        </w:rPr>
        <w:t>, as again should be obvious from Table 1, most earlier studies have investigated BE effects on walking behavior, ostensibly because BE measures are viewed as the main policy lever for planners to promote walking. However, in the aftermath of the</w:t>
      </w:r>
      <w:r w:rsidR="004D5323" w:rsidRPr="00410C8F">
        <w:rPr>
          <w:rFonts w:ascii="Times New Roman" w:eastAsiaTheme="minorEastAsia" w:hAnsi="Times New Roman"/>
          <w:lang w:eastAsia="ko-KR"/>
        </w:rPr>
        <w:t xml:space="preserve"> pandemic, when </w:t>
      </w:r>
      <w:r w:rsidR="004D5323" w:rsidRPr="00410C8F">
        <w:rPr>
          <w:rFonts w:ascii="Times New Roman" w:eastAsiaTheme="minorEastAsia" w:hAnsi="Times New Roman"/>
          <w:lang w:eastAsia="ko-KR"/>
        </w:rPr>
        <w:lastRenderedPageBreak/>
        <w:t>fundamental walking behaviors</w:t>
      </w:r>
      <w:r w:rsidR="0006405F">
        <w:rPr>
          <w:rFonts w:ascii="Times New Roman" w:eastAsiaTheme="minorEastAsia" w:hAnsi="Times New Roman"/>
          <w:lang w:eastAsia="ko-KR"/>
        </w:rPr>
        <w:t xml:space="preserve"> </w:t>
      </w:r>
      <w:r w:rsidR="004D5323" w:rsidRPr="00410C8F">
        <w:rPr>
          <w:rFonts w:ascii="Times New Roman" w:eastAsiaTheme="minorEastAsia" w:hAnsi="Times New Roman"/>
          <w:lang w:eastAsia="ko-KR"/>
        </w:rPr>
        <w:t>have shifted, the role of sociodemographic variables and social companionship considerations should not be underplayed. In fact, a better understanding of individual and companionship factors can provide fundamental insights</w:t>
      </w:r>
      <w:r w:rsidR="0006405F">
        <w:rPr>
          <w:rFonts w:ascii="Times New Roman" w:eastAsiaTheme="minorEastAsia" w:hAnsi="Times New Roman"/>
          <w:lang w:eastAsia="ko-KR"/>
        </w:rPr>
        <w:t xml:space="preserve"> that </w:t>
      </w:r>
      <w:r w:rsidR="004D5323" w:rsidRPr="00410C8F">
        <w:rPr>
          <w:rFonts w:ascii="Times New Roman" w:eastAsiaTheme="minorEastAsia" w:hAnsi="Times New Roman"/>
          <w:lang w:eastAsia="ko-KR"/>
        </w:rPr>
        <w:t xml:space="preserve">promote walking in the post-pandemic era and </w:t>
      </w:r>
      <w:r w:rsidR="0006405F">
        <w:rPr>
          <w:rFonts w:ascii="Times New Roman" w:eastAsiaTheme="minorEastAsia" w:hAnsi="Times New Roman"/>
          <w:lang w:eastAsia="ko-KR"/>
        </w:rPr>
        <w:t xml:space="preserve">inform the design of </w:t>
      </w:r>
      <w:r w:rsidR="004D5323" w:rsidRPr="00410C8F">
        <w:rPr>
          <w:rFonts w:ascii="Times New Roman" w:eastAsiaTheme="minorEastAsia" w:hAnsi="Times New Roman"/>
          <w:lang w:eastAsia="ko-KR"/>
        </w:rPr>
        <w:t xml:space="preserve">sustainable </w:t>
      </w:r>
      <w:r w:rsidR="00B41242" w:rsidRPr="00410C8F">
        <w:rPr>
          <w:rFonts w:ascii="Times New Roman" w:eastAsiaTheme="minorEastAsia" w:hAnsi="Times New Roman"/>
          <w:lang w:eastAsia="ko-KR"/>
        </w:rPr>
        <w:t>urban systems</w:t>
      </w:r>
      <w:r w:rsidR="004D5323" w:rsidRPr="00410C8F">
        <w:rPr>
          <w:rFonts w:ascii="Times New Roman" w:eastAsiaTheme="minorEastAsia" w:hAnsi="Times New Roman"/>
          <w:lang w:eastAsia="ko-KR"/>
        </w:rPr>
        <w:t xml:space="preserve">. </w:t>
      </w:r>
      <w:r w:rsidR="00A01980" w:rsidRPr="003579F5">
        <w:rPr>
          <w:rFonts w:ascii="Times New Roman" w:eastAsiaTheme="minorEastAsia" w:hAnsi="Times New Roman"/>
          <w:lang w:eastAsia="ko-KR"/>
        </w:rPr>
        <w:t>Besides, as indicated by</w:t>
      </w:r>
      <w:r w:rsidR="00527A5E" w:rsidRPr="003579F5">
        <w:rPr>
          <w:rFonts w:ascii="Times New Roman" w:eastAsiaTheme="minorEastAsia" w:hAnsi="Times New Roman" w:hint="eastAsia"/>
          <w:lang w:eastAsia="ko-KR"/>
        </w:rPr>
        <w:t xml:space="preserve"> </w:t>
      </w:r>
      <w:r w:rsidR="00527A5E" w:rsidRPr="003579F5">
        <w:rPr>
          <w:rFonts w:ascii="Times New Roman" w:eastAsiaTheme="minorEastAsia" w:hAnsi="Times New Roman"/>
          <w:lang w:eastAsia="ko-KR"/>
        </w:rPr>
        <w:fldChar w:fldCharType="begin"/>
      </w:r>
      <w:r w:rsidR="003828FC">
        <w:rPr>
          <w:rFonts w:ascii="Times New Roman" w:eastAsiaTheme="minorEastAsia" w:hAnsi="Times New Roman"/>
          <w:lang w:eastAsia="ko-KR"/>
        </w:rPr>
        <w:instrText xml:space="preserve"> ADDIN ZOTERO_ITEM CSL_CITATION {"citationID":"6CtL5hbH","properties":{"formattedCitation":"(Paydar &amp; Fard, 2021)","plainCitation":"(Paydar &amp; Fard, 2021)","dontUpdate":true,"noteIndex":0},"citationItems":[{"id":1606,"uris":["http://zotero.org/users/10132210/items/YUDDF8UN"],"itemData":{"id":1606,"type":"article-journal","abstract":"The improvement of walking contributes to maintain the minimum rate of physical activity and therefore the residents’ public health. This is while the amount of walking in daily transport of inhabitants has signiﬁcantly decreased during the last decades in Temuco, Chile. In addition, the impact of socio-demographic as well as social factors on the improvement of walking behavior has been paid less attention in previous studies. This study aims to examine the contribution of socio-demographic factors and the active family environment to walking behavior as well as walking level based on three types of destinations in Temuco. The results of “Encuesta Origin Destino” (EOD) in Temuco were used to examine the objectives. It was found that a high percentage of people who walk in Temuco belong to low-income families. Moreover, most of the people who walk, do not have a driver’s license nor private cars in their household. Certain socio-demographic factors such as age, gender, driver’s license, private cars, and access to TV were found to have associations with overall walking behavior as well as walking level depending on three different destination types. Furthermore, the correlation was found between walking behavior and active family environment. These ﬁndings were discussed and their implications were addressed as well.","container-title":"Social Sciences","DOI":"10.3390/socsci10120479","ISSN":"2076-0760","issue":"12","journalAbbreviation":"Social Sciences","language":"en","license":"https://creativecommons.org/licenses/by/4.0/","page":"479","source":"DOI.org (Crossref)","title":"The Contribution of Socio-Demographic Factors to Walking Behavior Considering Destination Types; Case Study: Temuco, Chile","title-short":"The Contribution of Socio-Demographic Factors to Walking Behavior Considering Destination Types; Case Study","volume":"10","author":[{"family":"Paydar","given":"Mohammad"},{"family":"Fard","given":"Asal Kamani"}],"issued":{"date-parts":[["2021",12,15]]}}}],"schema":"https://github.com/citation-style-language/schema/raw/master/csl-citation.json"} </w:instrText>
      </w:r>
      <w:r w:rsidR="00527A5E" w:rsidRPr="003579F5">
        <w:rPr>
          <w:rFonts w:ascii="Times New Roman" w:eastAsiaTheme="minorEastAsia" w:hAnsi="Times New Roman"/>
          <w:lang w:eastAsia="ko-KR"/>
        </w:rPr>
        <w:fldChar w:fldCharType="separate"/>
      </w:r>
      <w:r w:rsidR="00527A5E" w:rsidRPr="003579F5">
        <w:rPr>
          <w:rFonts w:ascii="Times New Roman" w:hAnsi="Times New Roman"/>
        </w:rPr>
        <w:t xml:space="preserve">Paydar </w:t>
      </w:r>
      <w:r w:rsidR="00386276" w:rsidRPr="003579F5">
        <w:rPr>
          <w:rFonts w:ascii="Times New Roman" w:eastAsiaTheme="minorEastAsia" w:hAnsi="Times New Roman" w:hint="eastAsia"/>
          <w:lang w:eastAsia="ko-KR"/>
        </w:rPr>
        <w:t>and</w:t>
      </w:r>
      <w:r w:rsidR="00527A5E" w:rsidRPr="003579F5">
        <w:rPr>
          <w:rFonts w:ascii="Times New Roman" w:hAnsi="Times New Roman"/>
        </w:rPr>
        <w:t xml:space="preserve"> Fard, </w:t>
      </w:r>
      <w:r w:rsidR="00386276" w:rsidRPr="003579F5">
        <w:rPr>
          <w:rFonts w:ascii="Times New Roman" w:eastAsiaTheme="minorEastAsia" w:hAnsi="Times New Roman" w:hint="eastAsia"/>
          <w:lang w:eastAsia="ko-KR"/>
        </w:rPr>
        <w:t>(</w:t>
      </w:r>
      <w:r w:rsidR="00527A5E" w:rsidRPr="003579F5">
        <w:rPr>
          <w:rFonts w:ascii="Times New Roman" w:hAnsi="Times New Roman"/>
        </w:rPr>
        <w:t>2021)</w:t>
      </w:r>
      <w:r w:rsidR="00527A5E" w:rsidRPr="003579F5">
        <w:rPr>
          <w:rFonts w:ascii="Times New Roman" w:eastAsiaTheme="minorEastAsia" w:hAnsi="Times New Roman"/>
          <w:lang w:eastAsia="ko-KR"/>
        </w:rPr>
        <w:fldChar w:fldCharType="end"/>
      </w:r>
      <w:r w:rsidR="00A01980" w:rsidRPr="003579F5">
        <w:rPr>
          <w:rFonts w:ascii="Times New Roman" w:eastAsiaTheme="minorEastAsia" w:hAnsi="Times New Roman"/>
          <w:lang w:eastAsia="ko-KR"/>
        </w:rPr>
        <w:t xml:space="preserve">, </w:t>
      </w:r>
      <w:r w:rsidR="00A01980" w:rsidRPr="003579F5">
        <w:rPr>
          <w:rFonts w:ascii="Times New Roman" w:eastAsiaTheme="minorEastAsia" w:hAnsi="Times New Roman"/>
          <w:szCs w:val="24"/>
          <w:lang w:eastAsia="ko-KR"/>
        </w:rPr>
        <w:t>“</w:t>
      </w:r>
      <w:r w:rsidR="00A01980" w:rsidRPr="003579F5">
        <w:rPr>
          <w:rFonts w:ascii="Times New Roman" w:eastAsia="Malgun Gothic" w:hAnsi="Times New Roman"/>
          <w:szCs w:val="24"/>
        </w:rPr>
        <w:t>…..the previous studies on walking behavior mostly focused on the contribution of built environment to walking behavior, whereas the role of socio-demographic as well as social factors in improvement of walking behavior has been less studied”.</w:t>
      </w:r>
      <w:r w:rsidR="00DD6936" w:rsidRPr="003579F5">
        <w:rPr>
          <w:rStyle w:val="FootnoteReference"/>
          <w:rFonts w:ascii="Times New Roman" w:eastAsia="Malgun Gothic" w:hAnsi="Times New Roman"/>
          <w:szCs w:val="24"/>
        </w:rPr>
        <w:footnoteReference w:id="1"/>
      </w:r>
      <w:r w:rsidR="00A01980">
        <w:rPr>
          <w:rFonts w:ascii="Times New Roman" w:eastAsia="Malgun Gothic" w:hAnsi="Times New Roman"/>
          <w:szCs w:val="24"/>
        </w:rPr>
        <w:t xml:space="preserve"> </w:t>
      </w:r>
    </w:p>
    <w:p w14:paraId="3DE5A7C9" w14:textId="52F9F65F" w:rsidR="003518AB" w:rsidRPr="003518AB" w:rsidRDefault="00A855F6" w:rsidP="003518AB">
      <w:pPr>
        <w:ind w:firstLine="720"/>
        <w:jc w:val="both"/>
        <w:rPr>
          <w:rFonts w:ascii="Times New Roman" w:hAnsi="Times New Roman"/>
        </w:rPr>
      </w:pPr>
      <w:r w:rsidRPr="00410C8F">
        <w:rPr>
          <w:rFonts w:ascii="Times New Roman" w:eastAsiaTheme="minorEastAsia" w:hAnsi="Times New Roman"/>
          <w:lang w:eastAsia="ko-KR"/>
        </w:rPr>
        <w:t xml:space="preserve">Figure 1 illustrates the </w:t>
      </w:r>
      <w:r w:rsidR="00B41242" w:rsidRPr="00410C8F">
        <w:rPr>
          <w:rFonts w:ascii="Times New Roman" w:eastAsiaTheme="minorEastAsia" w:hAnsi="Times New Roman"/>
          <w:lang w:eastAsia="ko-KR"/>
        </w:rPr>
        <w:t>conceptual/analytic</w:t>
      </w:r>
      <w:r w:rsidRPr="00410C8F">
        <w:rPr>
          <w:rFonts w:ascii="Times New Roman" w:eastAsiaTheme="minorEastAsia" w:hAnsi="Times New Roman"/>
          <w:lang w:eastAsia="ko-KR"/>
        </w:rPr>
        <w:t xml:space="preserve"> framework</w:t>
      </w:r>
      <w:r w:rsidR="00B41242" w:rsidRPr="00410C8F">
        <w:rPr>
          <w:rFonts w:ascii="Times New Roman" w:eastAsiaTheme="minorEastAsia" w:hAnsi="Times New Roman"/>
          <w:lang w:eastAsia="ko-KR"/>
        </w:rPr>
        <w:t xml:space="preserve"> </w:t>
      </w:r>
      <w:r w:rsidRPr="00410C8F">
        <w:rPr>
          <w:rFonts w:ascii="Times New Roman" w:eastAsiaTheme="minorEastAsia" w:hAnsi="Times New Roman"/>
          <w:lang w:eastAsia="ko-KR"/>
        </w:rPr>
        <w:t>use</w:t>
      </w:r>
      <w:r w:rsidR="00B41242" w:rsidRPr="00410C8F">
        <w:rPr>
          <w:rFonts w:ascii="Times New Roman" w:eastAsiaTheme="minorEastAsia" w:hAnsi="Times New Roman"/>
          <w:lang w:eastAsia="ko-KR"/>
        </w:rPr>
        <w:t>d</w:t>
      </w:r>
      <w:r w:rsidRPr="00410C8F">
        <w:rPr>
          <w:rFonts w:ascii="Times New Roman" w:eastAsiaTheme="minorEastAsia" w:hAnsi="Times New Roman"/>
          <w:lang w:eastAsia="ko-KR"/>
        </w:rPr>
        <w:t xml:space="preserve"> in th</w:t>
      </w:r>
      <w:r w:rsidR="00B41242" w:rsidRPr="00410C8F">
        <w:rPr>
          <w:rFonts w:ascii="Times New Roman" w:eastAsiaTheme="minorEastAsia" w:hAnsi="Times New Roman"/>
          <w:lang w:eastAsia="ko-KR"/>
        </w:rPr>
        <w:t>e</w:t>
      </w:r>
      <w:r w:rsidRPr="00410C8F">
        <w:rPr>
          <w:rFonts w:ascii="Times New Roman" w:eastAsiaTheme="minorEastAsia" w:hAnsi="Times New Roman"/>
          <w:lang w:eastAsia="ko-KR"/>
        </w:rPr>
        <w:t xml:space="preserve"> paper. Exogenous variables, representing individual and household sociodemographic characteristics, are located on the left side of Figure 1. </w:t>
      </w:r>
      <w:bookmarkStart w:id="28" w:name="_Hlk169957748"/>
      <w:r w:rsidR="00821AB4" w:rsidRPr="00410C8F">
        <w:rPr>
          <w:rFonts w:ascii="Times New Roman" w:hAnsi="Times New Roman"/>
        </w:rPr>
        <w:t xml:space="preserve">As part of our joint system, we estimate alternative directions of </w:t>
      </w:r>
      <w:proofErr w:type="spellStart"/>
      <w:r w:rsidR="00821AB4" w:rsidRPr="00410C8F">
        <w:rPr>
          <w:rFonts w:ascii="Times New Roman" w:hAnsi="Times New Roman"/>
        </w:rPr>
        <w:t>recursivity</w:t>
      </w:r>
      <w:proofErr w:type="spellEnd"/>
      <w:r w:rsidR="00821AB4" w:rsidRPr="00410C8F">
        <w:rPr>
          <w:rFonts w:ascii="Times New Roman" w:hAnsi="Times New Roman"/>
        </w:rPr>
        <w:t xml:space="preserve"> among the three walking measures</w:t>
      </w:r>
      <w:r w:rsidR="00BF4EDE" w:rsidRPr="00410C8F">
        <w:rPr>
          <w:rFonts w:ascii="Times New Roman" w:hAnsi="Times New Roman"/>
        </w:rPr>
        <w:t xml:space="preserve"> </w:t>
      </w:r>
      <w:r w:rsidR="00821AB4" w:rsidRPr="00410C8F">
        <w:rPr>
          <w:rFonts w:ascii="Times New Roman" w:hAnsi="Times New Roman"/>
        </w:rPr>
        <w:t xml:space="preserve"> (for a total of six possible recursive configurations) and obtain the one that outperforms the others based on data fit considerations</w:t>
      </w:r>
      <w:r w:rsidR="005D5503" w:rsidRPr="00410C8F">
        <w:rPr>
          <w:rFonts w:ascii="Times New Roman" w:hAnsi="Times New Roman"/>
        </w:rPr>
        <w:t xml:space="preserve"> (more on this in Section 4.</w:t>
      </w:r>
      <w:r w:rsidR="00E02D0A">
        <w:rPr>
          <w:rFonts w:ascii="Times New Roman" w:eastAsiaTheme="minorEastAsia" w:hAnsi="Times New Roman" w:hint="eastAsia"/>
          <w:lang w:eastAsia="ko-KR"/>
        </w:rPr>
        <w:t>3</w:t>
      </w:r>
      <w:bookmarkEnd w:id="28"/>
      <w:r w:rsidR="005D5503" w:rsidRPr="00410C8F">
        <w:rPr>
          <w:rFonts w:ascii="Times New Roman" w:hAnsi="Times New Roman"/>
        </w:rPr>
        <w:t>)</w:t>
      </w:r>
      <w:r w:rsidR="00821AB4" w:rsidRPr="00410C8F">
        <w:rPr>
          <w:rFonts w:ascii="Times New Roman" w:hAnsi="Times New Roman"/>
        </w:rPr>
        <w:t>.</w:t>
      </w:r>
      <w:r w:rsidR="00B41242" w:rsidRPr="00410C8F">
        <w:rPr>
          <w:rStyle w:val="FootnoteReference"/>
          <w:rFonts w:ascii="Times New Roman" w:hAnsi="Times New Roman"/>
        </w:rPr>
        <w:footnoteReference w:id="2"/>
      </w:r>
      <w:r w:rsidR="00821AB4" w:rsidRPr="00410C8F">
        <w:rPr>
          <w:rFonts w:ascii="Times New Roman" w:hAnsi="Times New Roman"/>
        </w:rPr>
        <w:t xml:space="preserve"> </w:t>
      </w:r>
      <w:r w:rsidR="00AA1CC1" w:rsidRPr="00410C8F">
        <w:rPr>
          <w:rFonts w:ascii="Times New Roman" w:hAnsi="Times New Roman"/>
        </w:rPr>
        <w:t xml:space="preserve">The final recursive configuration </w:t>
      </w:r>
      <w:r w:rsidR="00B41242" w:rsidRPr="00410C8F">
        <w:rPr>
          <w:rFonts w:ascii="Times New Roman" w:hAnsi="Times New Roman"/>
        </w:rPr>
        <w:t xml:space="preserve">in our analysis </w:t>
      </w:r>
      <w:r w:rsidR="00AA1CC1" w:rsidRPr="00410C8F">
        <w:rPr>
          <w:rFonts w:ascii="Times New Roman" w:hAnsi="Times New Roman"/>
        </w:rPr>
        <w:t>indicate</w:t>
      </w:r>
      <w:r w:rsidR="00B41242" w:rsidRPr="00410C8F">
        <w:rPr>
          <w:rFonts w:ascii="Times New Roman" w:hAnsi="Times New Roman"/>
        </w:rPr>
        <w:t>d</w:t>
      </w:r>
      <w:r w:rsidR="00AA1CC1" w:rsidRPr="00410C8F">
        <w:rPr>
          <w:rFonts w:ascii="Times New Roman" w:hAnsi="Times New Roman"/>
        </w:rPr>
        <w:t xml:space="preserve"> that walking frequency has a direct effect on walking duration, while companionship influences both walking frequency and the average duration of walking sessions. These endogenous effects are </w:t>
      </w:r>
      <w:r w:rsidR="00B41242" w:rsidRPr="00410C8F">
        <w:rPr>
          <w:rFonts w:ascii="Times New Roman" w:hAnsi="Times New Roman"/>
        </w:rPr>
        <w:t xml:space="preserve">the ones </w:t>
      </w:r>
      <w:r w:rsidR="00AA1CC1" w:rsidRPr="00410C8F">
        <w:rPr>
          <w:rFonts w:ascii="Times New Roman" w:hAnsi="Times New Roman"/>
        </w:rPr>
        <w:t xml:space="preserve">represented </w:t>
      </w:r>
      <w:r w:rsidR="00B41242" w:rsidRPr="00410C8F">
        <w:rPr>
          <w:rFonts w:ascii="Times New Roman" w:hAnsi="Times New Roman"/>
        </w:rPr>
        <w:t>(</w:t>
      </w:r>
      <w:r w:rsidR="00AA1CC1" w:rsidRPr="00410C8F">
        <w:rPr>
          <w:rFonts w:ascii="Times New Roman" w:hAnsi="Times New Roman"/>
        </w:rPr>
        <w:t>by the bold lines</w:t>
      </w:r>
      <w:r w:rsidR="00B41242" w:rsidRPr="00410C8F">
        <w:rPr>
          <w:rFonts w:ascii="Times New Roman" w:hAnsi="Times New Roman"/>
        </w:rPr>
        <w:t>) on the right side of the figure within the box labeled “walking outcomes</w:t>
      </w:r>
      <w:r w:rsidR="006F2489" w:rsidRPr="00410C8F">
        <w:rPr>
          <w:rFonts w:ascii="Times New Roman" w:hAnsi="Times New Roman"/>
        </w:rPr>
        <w:t>.”</w:t>
      </w:r>
      <w:r w:rsidR="00B41242" w:rsidRPr="00410C8F">
        <w:rPr>
          <w:rFonts w:ascii="Times New Roman" w:hAnsi="Times New Roman"/>
        </w:rPr>
        <w:t xml:space="preserve"> The dashed lines within the same box characterize </w:t>
      </w:r>
      <w:r w:rsidR="00AA1CC1" w:rsidRPr="00410C8F">
        <w:rPr>
          <w:rFonts w:ascii="Times New Roman" w:hAnsi="Times New Roman"/>
        </w:rPr>
        <w:t>correlations between the outcome variables</w:t>
      </w:r>
      <w:r w:rsidR="00B41242" w:rsidRPr="00410C8F">
        <w:rPr>
          <w:rFonts w:ascii="Times New Roman" w:hAnsi="Times New Roman"/>
        </w:rPr>
        <w:t>.</w:t>
      </w:r>
    </w:p>
    <w:bookmarkEnd w:id="26"/>
    <w:p w14:paraId="64237329" w14:textId="77777777" w:rsidR="001948E5" w:rsidRDefault="001948E5" w:rsidP="007F24B9">
      <w:pPr>
        <w:keepNext/>
        <w:spacing w:before="120"/>
      </w:pPr>
      <w:r>
        <w:rPr>
          <w:rFonts w:eastAsiaTheme="minorEastAsia" w:hint="eastAsia"/>
          <w:noProof/>
          <w:lang w:eastAsia="ko-KR"/>
        </w:rPr>
        <w:drawing>
          <wp:inline distT="0" distB="0" distL="0" distR="0" wp14:anchorId="5B712F9D" wp14:editId="7FA3717A">
            <wp:extent cx="5942757" cy="2346265"/>
            <wp:effectExtent l="0" t="0" r="1270" b="0"/>
            <wp:docPr id="22368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6888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2757" cy="2346265"/>
                    </a:xfrm>
                    <a:prstGeom prst="rect">
                      <a:avLst/>
                    </a:prstGeom>
                  </pic:spPr>
                </pic:pic>
              </a:graphicData>
            </a:graphic>
          </wp:inline>
        </w:drawing>
      </w:r>
    </w:p>
    <w:p w14:paraId="244E455F" w14:textId="378ACF45" w:rsidR="00B41242" w:rsidRDefault="001948E5" w:rsidP="000D6813">
      <w:pPr>
        <w:pStyle w:val="Caption"/>
        <w:jc w:val="center"/>
        <w:rPr>
          <w:rFonts w:ascii="Times New Roman" w:hAnsi="Times New Roman"/>
          <w:b/>
          <w:bCs/>
          <w:i w:val="0"/>
          <w:iCs w:val="0"/>
          <w:color w:val="auto"/>
          <w:sz w:val="24"/>
          <w:szCs w:val="24"/>
        </w:rPr>
      </w:pPr>
      <w:r w:rsidRPr="003A014E">
        <w:rPr>
          <w:rFonts w:ascii="Times New Roman" w:hAnsi="Times New Roman"/>
          <w:b/>
          <w:bCs/>
          <w:i w:val="0"/>
          <w:iCs w:val="0"/>
          <w:color w:val="auto"/>
          <w:sz w:val="24"/>
          <w:szCs w:val="24"/>
        </w:rPr>
        <w:t xml:space="preserve">Figure </w:t>
      </w:r>
      <w:r w:rsidRPr="003A014E">
        <w:rPr>
          <w:rFonts w:ascii="Times New Roman" w:hAnsi="Times New Roman"/>
          <w:b/>
          <w:bCs/>
          <w:i w:val="0"/>
          <w:iCs w:val="0"/>
          <w:color w:val="auto"/>
          <w:sz w:val="24"/>
          <w:szCs w:val="24"/>
        </w:rPr>
        <w:fldChar w:fldCharType="begin"/>
      </w:r>
      <w:r w:rsidRPr="003A014E">
        <w:rPr>
          <w:rFonts w:ascii="Times New Roman" w:hAnsi="Times New Roman"/>
          <w:b/>
          <w:bCs/>
          <w:i w:val="0"/>
          <w:iCs w:val="0"/>
          <w:color w:val="auto"/>
          <w:sz w:val="24"/>
          <w:szCs w:val="24"/>
        </w:rPr>
        <w:instrText xml:space="preserve"> SEQ Figure \* ARABIC </w:instrText>
      </w:r>
      <w:r w:rsidRPr="003A014E">
        <w:rPr>
          <w:rFonts w:ascii="Times New Roman" w:hAnsi="Times New Roman"/>
          <w:b/>
          <w:bCs/>
          <w:i w:val="0"/>
          <w:iCs w:val="0"/>
          <w:color w:val="auto"/>
          <w:sz w:val="24"/>
          <w:szCs w:val="24"/>
        </w:rPr>
        <w:fldChar w:fldCharType="separate"/>
      </w:r>
      <w:r w:rsidR="00D440F8">
        <w:rPr>
          <w:rFonts w:ascii="Times New Roman" w:hAnsi="Times New Roman"/>
          <w:b/>
          <w:bCs/>
          <w:i w:val="0"/>
          <w:iCs w:val="0"/>
          <w:noProof/>
          <w:color w:val="auto"/>
          <w:sz w:val="24"/>
          <w:szCs w:val="24"/>
        </w:rPr>
        <w:t>1</w:t>
      </w:r>
      <w:r w:rsidRPr="003A014E">
        <w:rPr>
          <w:rFonts w:ascii="Times New Roman" w:hAnsi="Times New Roman"/>
          <w:b/>
          <w:bCs/>
          <w:i w:val="0"/>
          <w:iCs w:val="0"/>
          <w:color w:val="auto"/>
          <w:sz w:val="24"/>
          <w:szCs w:val="24"/>
        </w:rPr>
        <w:fldChar w:fldCharType="end"/>
      </w:r>
      <w:r>
        <w:rPr>
          <w:rFonts w:ascii="Times New Roman" w:hAnsi="Times New Roman"/>
          <w:b/>
          <w:bCs/>
          <w:i w:val="0"/>
          <w:iCs w:val="0"/>
          <w:color w:val="auto"/>
          <w:sz w:val="24"/>
          <w:szCs w:val="24"/>
        </w:rPr>
        <w:t>.</w:t>
      </w:r>
      <w:r w:rsidRPr="003A014E">
        <w:rPr>
          <w:rFonts w:ascii="Times New Roman" w:hAnsi="Times New Roman"/>
          <w:b/>
          <w:bCs/>
          <w:i w:val="0"/>
          <w:iCs w:val="0"/>
          <w:color w:val="auto"/>
          <w:sz w:val="24"/>
          <w:szCs w:val="24"/>
        </w:rPr>
        <w:t xml:space="preserve"> </w:t>
      </w:r>
      <w:r>
        <w:rPr>
          <w:rFonts w:ascii="Times New Roman" w:hAnsi="Times New Roman"/>
          <w:b/>
          <w:bCs/>
          <w:i w:val="0"/>
          <w:iCs w:val="0"/>
          <w:color w:val="auto"/>
          <w:sz w:val="24"/>
          <w:szCs w:val="24"/>
        </w:rPr>
        <w:t xml:space="preserve">Relationship between Exogenous </w:t>
      </w:r>
      <w:r w:rsidR="0006405F">
        <w:rPr>
          <w:rFonts w:ascii="Times New Roman" w:hAnsi="Times New Roman"/>
          <w:b/>
          <w:bCs/>
          <w:i w:val="0"/>
          <w:iCs w:val="0"/>
          <w:color w:val="auto"/>
          <w:sz w:val="24"/>
          <w:szCs w:val="24"/>
        </w:rPr>
        <w:t xml:space="preserve">Variables </w:t>
      </w:r>
      <w:r>
        <w:rPr>
          <w:rFonts w:ascii="Times New Roman" w:hAnsi="Times New Roman"/>
          <w:b/>
          <w:bCs/>
          <w:i w:val="0"/>
          <w:iCs w:val="0"/>
          <w:color w:val="auto"/>
          <w:sz w:val="24"/>
          <w:szCs w:val="24"/>
        </w:rPr>
        <w:t xml:space="preserve">and </w:t>
      </w:r>
      <w:r w:rsidR="00B41242">
        <w:rPr>
          <w:rFonts w:ascii="Times New Roman" w:hAnsi="Times New Roman"/>
          <w:b/>
          <w:bCs/>
          <w:i w:val="0"/>
          <w:iCs w:val="0"/>
          <w:color w:val="auto"/>
          <w:sz w:val="24"/>
          <w:szCs w:val="24"/>
        </w:rPr>
        <w:t xml:space="preserve">Walking </w:t>
      </w:r>
      <w:r>
        <w:rPr>
          <w:rFonts w:ascii="Times New Roman" w:hAnsi="Times New Roman"/>
          <w:b/>
          <w:bCs/>
          <w:i w:val="0"/>
          <w:iCs w:val="0"/>
          <w:color w:val="auto"/>
          <w:sz w:val="24"/>
          <w:szCs w:val="24"/>
        </w:rPr>
        <w:t>Outcome</w:t>
      </w:r>
      <w:r w:rsidR="0006405F">
        <w:rPr>
          <w:rFonts w:ascii="Times New Roman" w:hAnsi="Times New Roman"/>
          <w:b/>
          <w:bCs/>
          <w:i w:val="0"/>
          <w:iCs w:val="0"/>
          <w:color w:val="auto"/>
          <w:sz w:val="24"/>
          <w:szCs w:val="24"/>
        </w:rPr>
        <w:t>s</w:t>
      </w:r>
    </w:p>
    <w:p w14:paraId="05497856" w14:textId="77777777" w:rsidR="00A16F8A" w:rsidRPr="00F424E8" w:rsidRDefault="00A16F8A" w:rsidP="00F424E8">
      <w:pPr>
        <w:rPr>
          <w:i/>
          <w:iCs/>
        </w:rPr>
      </w:pPr>
    </w:p>
    <w:p w14:paraId="1505846F" w14:textId="77777777" w:rsidR="00396E1E" w:rsidRPr="007F24B9" w:rsidRDefault="00396E1E" w:rsidP="003518AB">
      <w:pPr>
        <w:pStyle w:val="Heading1"/>
        <w:spacing w:line="240" w:lineRule="auto"/>
        <w:contextualSpacing w:val="0"/>
        <w:rPr>
          <w:rFonts w:eastAsiaTheme="minorEastAsia"/>
          <w:caps/>
          <w:lang w:eastAsia="ko-KR"/>
        </w:rPr>
      </w:pPr>
      <w:r w:rsidRPr="007F24B9">
        <w:rPr>
          <w:caps/>
          <w:lang w:eastAsia="ko-KR"/>
        </w:rPr>
        <w:lastRenderedPageBreak/>
        <w:t>Methodology</w:t>
      </w:r>
    </w:p>
    <w:p w14:paraId="0FB64708" w14:textId="77777777" w:rsidR="00396E1E" w:rsidRPr="003518AB" w:rsidRDefault="00396E1E" w:rsidP="003518AB">
      <w:pPr>
        <w:pStyle w:val="Heading2"/>
        <w:spacing w:line="240" w:lineRule="auto"/>
        <w:ind w:hanging="540"/>
        <w:contextualSpacing w:val="0"/>
        <w:rPr>
          <w:rFonts w:eastAsiaTheme="minorEastAsia"/>
          <w:lang w:eastAsia="ko-KR"/>
        </w:rPr>
      </w:pPr>
      <w:r w:rsidRPr="003518AB">
        <w:rPr>
          <w:rFonts w:eastAsiaTheme="minorEastAsia"/>
          <w:lang w:eastAsia="ko-KR"/>
        </w:rPr>
        <w:t>Survey</w:t>
      </w:r>
    </w:p>
    <w:p w14:paraId="613689E0" w14:textId="5B36A1A6" w:rsidR="00396E1E" w:rsidRDefault="00FD0043" w:rsidP="003518AB">
      <w:pPr>
        <w:jc w:val="both"/>
        <w:rPr>
          <w:rFonts w:ascii="Times New Roman" w:eastAsiaTheme="minorEastAsia" w:hAnsi="Times New Roman"/>
          <w:lang w:eastAsia="ko-KR"/>
        </w:rPr>
      </w:pPr>
      <w:bookmarkStart w:id="29" w:name="_Hlk169956791"/>
      <w:r w:rsidRPr="003518AB">
        <w:rPr>
          <w:rFonts w:ascii="Times New Roman" w:eastAsiaTheme="minorEastAsia" w:hAnsi="Times New Roman"/>
          <w:lang w:eastAsia="ko-KR"/>
        </w:rPr>
        <w:t xml:space="preserve">This study utilizes data from </w:t>
      </w:r>
      <w:r w:rsidR="00396E1E" w:rsidRPr="003518AB">
        <w:rPr>
          <w:rFonts w:ascii="Times New Roman" w:eastAsiaTheme="minorEastAsia" w:hAnsi="Times New Roman"/>
          <w:lang w:eastAsia="ko-KR"/>
        </w:rPr>
        <w:t xml:space="preserve">“AARP Walking Survey: Attitudes and Habits of Adults Aged 50 and Older” </w:t>
      </w:r>
      <w:bookmarkStart w:id="30" w:name="_Hlk169961358"/>
      <w:r w:rsidR="00396E1E" w:rsidRPr="003518AB">
        <w:rPr>
          <w:rFonts w:ascii="Times New Roman" w:eastAsiaTheme="minorEastAsia" w:hAnsi="Times New Roman"/>
          <w:lang w:eastAsia="ko-KR"/>
        </w:rPr>
        <w:fldChar w:fldCharType="begin"/>
      </w:r>
      <w:r w:rsidR="002F0EF8" w:rsidRPr="003518AB">
        <w:rPr>
          <w:rFonts w:ascii="Times New Roman" w:eastAsiaTheme="minorEastAsia" w:hAnsi="Times New Roman"/>
          <w:lang w:eastAsia="ko-KR"/>
        </w:rPr>
        <w:instrText xml:space="preserve"> ADDIN ZOTERO_ITEM CSL_CITATION {"citationID":"o8SvaYZ6","properties":{"formattedCitation":"(AARP, 2023)","plainCitation":"(AARP, 2023)","noteIndex":0},"citationItems":[{"id":999,"uris":["http://zotero.org/users/10132210/items/5WQ85CII"],"itemData":{"id":999,"type":"article-journal","abstract":"Reasons for walking (16); walking with others (1); frequency of walks (1); duration of walks (1); walk location (1); benefits of walking (8); barriers to walking (17).","DOI":"10.25940/ROPER-31120071","note":"publisher: [object Object]","source":"DOI.org (Datacite)","title":"AARP Walking Survey: Attitudes and Habits of Adults Aged 50 and Older","title-short":"AARP Walking Survey","URL":"https://doi.roper.center?doi=10.25940/ROPER-31120071","author":[{"literal":"AARP"}],"contributor":[{"literal":"AARP"},{"literal":"NORC"}],"accessed":{"date-parts":[["2024",3,11]]},"issued":{"date-parts":[["2023"]]}}}],"schema":"https://github.com/citation-style-language/schema/raw/master/csl-citation.json"} </w:instrText>
      </w:r>
      <w:r w:rsidR="00396E1E" w:rsidRPr="003518AB">
        <w:rPr>
          <w:rFonts w:ascii="Times New Roman" w:eastAsiaTheme="minorEastAsia" w:hAnsi="Times New Roman"/>
          <w:lang w:eastAsia="ko-KR"/>
        </w:rPr>
        <w:fldChar w:fldCharType="separate"/>
      </w:r>
      <w:r w:rsidR="00396E1E" w:rsidRPr="003518AB">
        <w:rPr>
          <w:rFonts w:ascii="Times New Roman" w:hAnsi="Times New Roman"/>
        </w:rPr>
        <w:t>(AARP, 2023)</w:t>
      </w:r>
      <w:r w:rsidR="00396E1E" w:rsidRPr="003518AB">
        <w:rPr>
          <w:rFonts w:ascii="Times New Roman" w:eastAsiaTheme="minorEastAsia" w:hAnsi="Times New Roman"/>
          <w:lang w:eastAsia="ko-KR"/>
        </w:rPr>
        <w:fldChar w:fldCharType="end"/>
      </w:r>
      <w:r w:rsidR="00396E1E" w:rsidRPr="003518AB">
        <w:rPr>
          <w:rFonts w:ascii="Times New Roman" w:eastAsiaTheme="minorEastAsia" w:hAnsi="Times New Roman"/>
          <w:lang w:eastAsia="ko-KR"/>
        </w:rPr>
        <w:t xml:space="preserve">. </w:t>
      </w:r>
      <w:bookmarkEnd w:id="30"/>
      <w:r w:rsidR="00396E1E" w:rsidRPr="003518AB">
        <w:rPr>
          <w:rFonts w:ascii="Times New Roman" w:eastAsiaTheme="minorEastAsia" w:hAnsi="Times New Roman"/>
          <w:lang w:eastAsia="ko-KR"/>
        </w:rPr>
        <w:t xml:space="preserve">The survey collected data from 1,691 U.S. adults </w:t>
      </w:r>
      <w:r w:rsidR="00A16F8A" w:rsidRPr="003518AB">
        <w:rPr>
          <w:rFonts w:ascii="Times New Roman" w:eastAsiaTheme="minorEastAsia" w:hAnsi="Times New Roman"/>
          <w:lang w:eastAsia="ko-KR"/>
        </w:rPr>
        <w:t xml:space="preserve">aged 50 and </w:t>
      </w:r>
      <w:r w:rsidR="007F24B9">
        <w:rPr>
          <w:rFonts w:ascii="Times New Roman" w:eastAsiaTheme="minorEastAsia" w:hAnsi="Times New Roman"/>
          <w:lang w:eastAsia="ko-KR"/>
        </w:rPr>
        <w:t>o</w:t>
      </w:r>
      <w:r w:rsidR="00A16F8A" w:rsidRPr="003518AB">
        <w:rPr>
          <w:rFonts w:ascii="Times New Roman" w:eastAsiaTheme="minorEastAsia" w:hAnsi="Times New Roman"/>
          <w:lang w:eastAsia="ko-KR"/>
        </w:rPr>
        <w:t xml:space="preserve">lder </w:t>
      </w:r>
      <w:r w:rsidR="00396E1E" w:rsidRPr="003518AB">
        <w:rPr>
          <w:rFonts w:ascii="Times New Roman" w:eastAsiaTheme="minorEastAsia" w:hAnsi="Times New Roman"/>
          <w:lang w:eastAsia="ko-KR"/>
        </w:rPr>
        <w:t xml:space="preserve">via </w:t>
      </w:r>
      <w:r w:rsidR="0062324F" w:rsidRPr="003518AB">
        <w:rPr>
          <w:rFonts w:ascii="Times New Roman" w:eastAsiaTheme="minorEastAsia" w:hAnsi="Times New Roman"/>
          <w:lang w:eastAsia="ko-KR"/>
        </w:rPr>
        <w:t xml:space="preserve">the </w:t>
      </w:r>
      <w:r w:rsidR="004D1C48" w:rsidRPr="003518AB">
        <w:rPr>
          <w:rFonts w:ascii="Times New Roman" w:eastAsiaTheme="minorEastAsia" w:hAnsi="Times New Roman"/>
          <w:lang w:eastAsia="ko-KR"/>
        </w:rPr>
        <w:t>National Opinion Research Center</w:t>
      </w:r>
      <w:r w:rsidR="0062324F" w:rsidRPr="003518AB">
        <w:rPr>
          <w:rFonts w:ascii="Times New Roman" w:eastAsiaTheme="minorEastAsia" w:hAnsi="Times New Roman"/>
          <w:lang w:eastAsia="ko-KR"/>
        </w:rPr>
        <w:t xml:space="preserve"> </w:t>
      </w:r>
      <w:r w:rsidR="004D1C48" w:rsidRPr="003518AB">
        <w:rPr>
          <w:rFonts w:ascii="Times New Roman" w:eastAsiaTheme="minorEastAsia" w:hAnsi="Times New Roman"/>
          <w:lang w:eastAsia="ko-KR"/>
        </w:rPr>
        <w:t>(</w:t>
      </w:r>
      <w:r w:rsidR="00396E1E" w:rsidRPr="003518AB">
        <w:rPr>
          <w:rFonts w:ascii="Times New Roman" w:eastAsiaTheme="minorEastAsia" w:hAnsi="Times New Roman"/>
          <w:lang w:eastAsia="ko-KR"/>
        </w:rPr>
        <w:t>NORC</w:t>
      </w:r>
      <w:r w:rsidR="004D1C48" w:rsidRPr="003518AB">
        <w:rPr>
          <w:rFonts w:ascii="Times New Roman" w:eastAsiaTheme="minorEastAsia" w:hAnsi="Times New Roman"/>
          <w:lang w:eastAsia="ko-KR"/>
        </w:rPr>
        <w:t>)</w:t>
      </w:r>
      <w:r w:rsidR="00396E1E" w:rsidRPr="003518AB">
        <w:rPr>
          <w:rFonts w:ascii="Times New Roman" w:eastAsiaTheme="minorEastAsia" w:hAnsi="Times New Roman"/>
          <w:lang w:eastAsia="ko-KR"/>
        </w:rPr>
        <w:t>’s Foresight 50+ panel</w:t>
      </w:r>
      <w:r w:rsidR="00DC71ED" w:rsidRPr="003518AB">
        <w:rPr>
          <w:rFonts w:ascii="Times New Roman" w:eastAsiaTheme="minorEastAsia" w:hAnsi="Times New Roman"/>
          <w:lang w:eastAsia="ko-KR"/>
        </w:rPr>
        <w:t>.</w:t>
      </w:r>
      <w:r w:rsidR="00E4784E" w:rsidRPr="003518AB">
        <w:rPr>
          <w:rFonts w:ascii="Times New Roman" w:hAnsi="Times New Roman"/>
          <w:color w:val="000000"/>
          <w:szCs w:val="24"/>
          <w:vertAlign w:val="superscript"/>
        </w:rPr>
        <w:footnoteReference w:id="3"/>
      </w:r>
      <w:r w:rsidR="00396E1E" w:rsidRPr="003518AB">
        <w:rPr>
          <w:rFonts w:ascii="Times New Roman" w:eastAsiaTheme="minorEastAsia" w:hAnsi="Times New Roman"/>
          <w:lang w:eastAsia="ko-KR"/>
        </w:rPr>
        <w:t xml:space="preserve"> </w:t>
      </w:r>
      <w:r w:rsidR="00135C3C" w:rsidRPr="003518AB">
        <w:rPr>
          <w:rFonts w:ascii="Times New Roman" w:eastAsiaTheme="minorEastAsia" w:hAnsi="Times New Roman"/>
          <w:lang w:eastAsia="ko-KR"/>
        </w:rPr>
        <w:t xml:space="preserve">The survey was conducted </w:t>
      </w:r>
      <w:r w:rsidR="00DC71ED" w:rsidRPr="003518AB">
        <w:rPr>
          <w:rFonts w:ascii="Times New Roman" w:eastAsiaTheme="minorEastAsia" w:hAnsi="Times New Roman"/>
          <w:lang w:eastAsia="ko-KR"/>
        </w:rPr>
        <w:t>between July 21 and July 26, 2022</w:t>
      </w:r>
      <w:r w:rsidR="0062324F" w:rsidRPr="003518AB">
        <w:rPr>
          <w:rFonts w:ascii="Times New Roman" w:eastAsiaTheme="minorEastAsia" w:hAnsi="Times New Roman"/>
          <w:lang w:eastAsia="ko-KR"/>
        </w:rPr>
        <w:t>,</w:t>
      </w:r>
      <w:r w:rsidR="00DC71ED" w:rsidRPr="003518AB">
        <w:rPr>
          <w:rFonts w:ascii="Times New Roman" w:eastAsiaTheme="minorEastAsia" w:hAnsi="Times New Roman"/>
          <w:lang w:eastAsia="ko-KR"/>
        </w:rPr>
        <w:t xml:space="preserve"> </w:t>
      </w:r>
      <w:r w:rsidR="00135C3C" w:rsidRPr="003518AB">
        <w:rPr>
          <w:rFonts w:ascii="Times New Roman" w:eastAsiaTheme="minorEastAsia" w:hAnsi="Times New Roman"/>
          <w:lang w:eastAsia="ko-KR"/>
        </w:rPr>
        <w:t>a period characterized by widespread vaccination</w:t>
      </w:r>
      <w:r w:rsidR="00396E1E" w:rsidRPr="003518AB">
        <w:rPr>
          <w:rFonts w:ascii="Times New Roman" w:eastAsiaTheme="minorEastAsia" w:hAnsi="Times New Roman"/>
          <w:lang w:eastAsia="ko-KR"/>
        </w:rPr>
        <w:t xml:space="preserve">, and </w:t>
      </w:r>
      <w:r w:rsidR="0062324F" w:rsidRPr="003518AB">
        <w:rPr>
          <w:rFonts w:ascii="Times New Roman" w:eastAsiaTheme="minorEastAsia" w:hAnsi="Times New Roman"/>
          <w:lang w:eastAsia="ko-KR"/>
        </w:rPr>
        <w:t xml:space="preserve">the </w:t>
      </w:r>
      <w:r w:rsidR="00DC71ED" w:rsidRPr="003518AB">
        <w:rPr>
          <w:rFonts w:ascii="Times New Roman" w:eastAsiaTheme="minorEastAsia" w:hAnsi="Times New Roman"/>
          <w:lang w:eastAsia="ko-KR"/>
        </w:rPr>
        <w:t xml:space="preserve">lowest COVID-related </w:t>
      </w:r>
      <w:r w:rsidR="00396E1E" w:rsidRPr="003518AB">
        <w:rPr>
          <w:rFonts w:ascii="Times New Roman" w:eastAsiaTheme="minorEastAsia" w:hAnsi="Times New Roman"/>
          <w:lang w:eastAsia="ko-KR"/>
        </w:rPr>
        <w:t>death and hospitalization rates</w:t>
      </w:r>
      <w:r w:rsidR="00853655" w:rsidRPr="003518AB">
        <w:rPr>
          <w:rFonts w:ascii="Times New Roman" w:eastAsiaTheme="minorEastAsia" w:hAnsi="Times New Roman"/>
          <w:lang w:eastAsia="ko-KR"/>
        </w:rPr>
        <w:t xml:space="preserve"> since the beginning of the pandemic</w:t>
      </w:r>
      <w:r w:rsidR="00396E1E" w:rsidRPr="003518AB">
        <w:rPr>
          <w:rFonts w:ascii="Times New Roman" w:eastAsiaTheme="minorEastAsia" w:hAnsi="Times New Roman"/>
          <w:lang w:eastAsia="ko-KR"/>
        </w:rPr>
        <w:t xml:space="preserve">. </w:t>
      </w:r>
      <w:r w:rsidR="00DC71ED" w:rsidRPr="003518AB">
        <w:rPr>
          <w:rFonts w:ascii="Times New Roman" w:eastAsiaTheme="minorEastAsia" w:hAnsi="Times New Roman"/>
          <w:lang w:eastAsia="ko-KR"/>
        </w:rPr>
        <w:t>Additionally, at the time of data collection m</w:t>
      </w:r>
      <w:r w:rsidR="00396E1E" w:rsidRPr="003518AB">
        <w:rPr>
          <w:rFonts w:ascii="Times New Roman" w:eastAsiaTheme="minorEastAsia" w:hAnsi="Times New Roman"/>
          <w:lang w:eastAsia="ko-KR"/>
        </w:rPr>
        <w:t>ost of the restrictions, including the mandatory wearing of face masks</w:t>
      </w:r>
      <w:r w:rsidR="0062324F" w:rsidRPr="003518AB">
        <w:rPr>
          <w:rFonts w:ascii="Times New Roman" w:eastAsiaTheme="minorEastAsia" w:hAnsi="Times New Roman"/>
          <w:lang w:eastAsia="ko-KR"/>
        </w:rPr>
        <w:t xml:space="preserve"> and social distancing</w:t>
      </w:r>
      <w:r w:rsidR="00396E1E" w:rsidRPr="003518AB">
        <w:rPr>
          <w:rFonts w:ascii="Times New Roman" w:eastAsiaTheme="minorEastAsia" w:hAnsi="Times New Roman"/>
          <w:lang w:eastAsia="ko-KR"/>
        </w:rPr>
        <w:t xml:space="preserve">, </w:t>
      </w:r>
      <w:r w:rsidR="00DC71ED" w:rsidRPr="003518AB">
        <w:rPr>
          <w:rFonts w:ascii="Times New Roman" w:eastAsiaTheme="minorEastAsia" w:hAnsi="Times New Roman"/>
          <w:lang w:eastAsia="ko-KR"/>
        </w:rPr>
        <w:t xml:space="preserve">had </w:t>
      </w:r>
      <w:r w:rsidR="00396E1E" w:rsidRPr="003518AB">
        <w:rPr>
          <w:rFonts w:ascii="Times New Roman" w:eastAsiaTheme="minorEastAsia" w:hAnsi="Times New Roman"/>
          <w:lang w:eastAsia="ko-KR"/>
        </w:rPr>
        <w:t xml:space="preserve">been lifted, </w:t>
      </w:r>
      <w:r w:rsidR="00DC71ED" w:rsidRPr="003518AB">
        <w:rPr>
          <w:rFonts w:ascii="Times New Roman" w:eastAsiaTheme="minorEastAsia" w:hAnsi="Times New Roman"/>
          <w:lang w:eastAsia="ko-KR"/>
        </w:rPr>
        <w:t xml:space="preserve">allowing people to </w:t>
      </w:r>
      <w:r w:rsidR="00315207" w:rsidRPr="003518AB">
        <w:rPr>
          <w:rFonts w:ascii="Times New Roman" w:eastAsiaTheme="minorEastAsia" w:hAnsi="Times New Roman"/>
          <w:lang w:eastAsia="ko-KR"/>
        </w:rPr>
        <w:t>return to normal</w:t>
      </w:r>
      <w:r w:rsidR="00E4784E" w:rsidRPr="003518AB">
        <w:rPr>
          <w:rFonts w:ascii="Times New Roman" w:eastAsiaTheme="minorEastAsia" w:hAnsi="Times New Roman"/>
          <w:lang w:eastAsia="ko-KR"/>
        </w:rPr>
        <w:t xml:space="preserve"> daily life</w:t>
      </w:r>
      <w:r w:rsidR="00315207" w:rsidRPr="003518AB">
        <w:rPr>
          <w:rFonts w:ascii="Times New Roman" w:eastAsiaTheme="minorEastAsia" w:hAnsi="Times New Roman"/>
          <w:lang w:eastAsia="ko-KR"/>
        </w:rPr>
        <w:t xml:space="preserve"> </w:t>
      </w:r>
      <w:r w:rsidR="00396E1E" w:rsidRPr="003518AB">
        <w:rPr>
          <w:rFonts w:ascii="Times New Roman" w:eastAsiaTheme="minorEastAsia" w:hAnsi="Times New Roman"/>
          <w:lang w:eastAsia="ko-KR"/>
        </w:rPr>
        <w:fldChar w:fldCharType="begin"/>
      </w:r>
      <w:r w:rsidR="003123FA" w:rsidRPr="003518AB">
        <w:rPr>
          <w:rFonts w:ascii="Times New Roman" w:eastAsiaTheme="minorEastAsia" w:hAnsi="Times New Roman"/>
          <w:lang w:eastAsia="ko-KR"/>
        </w:rPr>
        <w:instrText xml:space="preserve"> ADDIN ZOTERO_ITEM CSL_CITATION {"citationID":"4o2JS4f7","properties":{"formattedCitation":"(Phillips, 2022)","plainCitation":"(Phillips, 2022)","dontUpdate":true,"noteIndex":0},"citationItems":[{"id":998,"uris":["http://zotero.org/users/10132210/items/LWTHAW28"],"itemData":{"id":998,"type":"article-newspaper","container-title":"Time","title":"This Is the Phase of the Pandemic Where Life Returns To Normal","URL":"https://time.com/6203058/covid-19-pandemic-return-to-normal-column/","author":[{"family":"Phillips","given":"Steven"}],"accessed":{"date-parts":[["2024",3,11]]},"issued":{"date-parts":[["2022",8,3]]}}}],"schema":"https://github.com/citation-style-language/schema/raw/master/csl-citation.json"} </w:instrText>
      </w:r>
      <w:r w:rsidR="00396E1E" w:rsidRPr="003518AB">
        <w:rPr>
          <w:rFonts w:ascii="Times New Roman" w:eastAsiaTheme="minorEastAsia" w:hAnsi="Times New Roman"/>
          <w:lang w:eastAsia="ko-KR"/>
        </w:rPr>
        <w:fldChar w:fldCharType="separate"/>
      </w:r>
      <w:r w:rsidR="00396E1E" w:rsidRPr="003518AB">
        <w:rPr>
          <w:rFonts w:ascii="Times New Roman" w:hAnsi="Times New Roman"/>
        </w:rPr>
        <w:t>(Phillips, 2022)</w:t>
      </w:r>
      <w:r w:rsidR="00396E1E" w:rsidRPr="003518AB">
        <w:rPr>
          <w:rFonts w:ascii="Times New Roman" w:eastAsiaTheme="minorEastAsia" w:hAnsi="Times New Roman"/>
          <w:lang w:eastAsia="ko-KR"/>
        </w:rPr>
        <w:fldChar w:fldCharType="end"/>
      </w:r>
      <w:r w:rsidR="00315207" w:rsidRPr="003518AB">
        <w:rPr>
          <w:rFonts w:ascii="Times New Roman" w:eastAsiaTheme="minorEastAsia" w:hAnsi="Times New Roman"/>
          <w:lang w:eastAsia="ko-KR"/>
        </w:rPr>
        <w:t>.</w:t>
      </w:r>
      <w:r w:rsidR="00396E1E" w:rsidRPr="003518AB">
        <w:rPr>
          <w:rFonts w:ascii="Times New Roman" w:eastAsiaTheme="minorEastAsia" w:hAnsi="Times New Roman"/>
          <w:lang w:eastAsia="ko-KR"/>
        </w:rPr>
        <w:t xml:space="preserve"> </w:t>
      </w:r>
      <w:r w:rsidR="00FC275D" w:rsidRPr="003518AB">
        <w:rPr>
          <w:rFonts w:ascii="Times New Roman" w:eastAsiaTheme="minorEastAsia" w:hAnsi="Times New Roman"/>
          <w:lang w:eastAsia="ko-KR"/>
        </w:rPr>
        <w:t xml:space="preserve">Following extensive data cleaning and the removal of erroneous entries, 1,667 </w:t>
      </w:r>
      <w:r w:rsidR="000E0D83" w:rsidRPr="003518AB">
        <w:rPr>
          <w:rFonts w:ascii="Times New Roman" w:eastAsiaTheme="minorEastAsia" w:hAnsi="Times New Roman"/>
          <w:lang w:eastAsia="ko-KR"/>
        </w:rPr>
        <w:t xml:space="preserve">observations </w:t>
      </w:r>
      <w:r w:rsidR="00FC275D" w:rsidRPr="003518AB">
        <w:rPr>
          <w:rFonts w:ascii="Times New Roman" w:eastAsiaTheme="minorEastAsia" w:hAnsi="Times New Roman"/>
          <w:lang w:eastAsia="ko-KR"/>
        </w:rPr>
        <w:t>were retained in the final sample.</w:t>
      </w:r>
    </w:p>
    <w:p w14:paraId="1F594391" w14:textId="77777777" w:rsidR="003518AB" w:rsidRPr="003518AB" w:rsidRDefault="003518AB" w:rsidP="003518AB">
      <w:pPr>
        <w:jc w:val="both"/>
        <w:rPr>
          <w:rFonts w:ascii="Times New Roman" w:eastAsiaTheme="minorEastAsia" w:hAnsi="Times New Roman"/>
          <w:lang w:eastAsia="ko-KR"/>
        </w:rPr>
      </w:pPr>
    </w:p>
    <w:bookmarkEnd w:id="29"/>
    <w:p w14:paraId="04543D1B" w14:textId="77777777" w:rsidR="00396E1E" w:rsidRPr="003518AB" w:rsidRDefault="00396E1E" w:rsidP="003518AB">
      <w:pPr>
        <w:pStyle w:val="Heading2"/>
        <w:spacing w:line="240" w:lineRule="auto"/>
        <w:ind w:hanging="540"/>
        <w:contextualSpacing w:val="0"/>
        <w:rPr>
          <w:rFonts w:eastAsiaTheme="minorEastAsia"/>
          <w:lang w:eastAsia="ko-KR"/>
        </w:rPr>
      </w:pPr>
      <w:r w:rsidRPr="003518AB">
        <w:rPr>
          <w:rFonts w:eastAsiaTheme="minorEastAsia"/>
          <w:lang w:eastAsia="ko-KR"/>
        </w:rPr>
        <w:t>Exogenous Variables</w:t>
      </w:r>
    </w:p>
    <w:p w14:paraId="40624EB5" w14:textId="42CE17AA" w:rsidR="00B837E8" w:rsidRPr="003518AB" w:rsidRDefault="00E4784E" w:rsidP="003518AB">
      <w:pPr>
        <w:autoSpaceDE w:val="0"/>
        <w:autoSpaceDN w:val="0"/>
        <w:adjustRightInd w:val="0"/>
        <w:jc w:val="both"/>
        <w:rPr>
          <w:rFonts w:ascii="Times New Roman" w:hAnsi="Times New Roman"/>
          <w:color w:val="000000"/>
          <w:szCs w:val="24"/>
        </w:rPr>
      </w:pPr>
      <w:r w:rsidRPr="003518AB">
        <w:rPr>
          <w:rFonts w:ascii="Times New Roman" w:eastAsiaTheme="minorEastAsia" w:hAnsi="Times New Roman"/>
          <w:lang w:eastAsia="ko-KR"/>
        </w:rPr>
        <w:t>T</w:t>
      </w:r>
      <w:r w:rsidR="00396E1E" w:rsidRPr="003518AB">
        <w:rPr>
          <w:rFonts w:ascii="Times New Roman" w:eastAsiaTheme="minorEastAsia" w:hAnsi="Times New Roman"/>
          <w:lang w:eastAsia="ko-KR"/>
        </w:rPr>
        <w:t xml:space="preserve">he exogenous variables </w:t>
      </w:r>
      <w:r w:rsidRPr="003518AB">
        <w:rPr>
          <w:rFonts w:ascii="Times New Roman" w:eastAsiaTheme="minorEastAsia" w:hAnsi="Times New Roman"/>
          <w:lang w:eastAsia="ko-KR"/>
        </w:rPr>
        <w:t xml:space="preserve">are grouped </w:t>
      </w:r>
      <w:r w:rsidR="00396E1E" w:rsidRPr="003518AB">
        <w:rPr>
          <w:rFonts w:ascii="Times New Roman" w:eastAsiaTheme="minorEastAsia" w:hAnsi="Times New Roman"/>
          <w:lang w:eastAsia="ko-KR"/>
        </w:rPr>
        <w:t>in</w:t>
      </w:r>
      <w:r w:rsidR="00DC71ED" w:rsidRPr="003518AB">
        <w:rPr>
          <w:rFonts w:ascii="Times New Roman" w:eastAsiaTheme="minorEastAsia" w:hAnsi="Times New Roman"/>
          <w:lang w:eastAsia="ko-KR"/>
        </w:rPr>
        <w:t>to</w:t>
      </w:r>
      <w:r w:rsidR="00396E1E" w:rsidRPr="003518AB">
        <w:rPr>
          <w:rFonts w:ascii="Times New Roman" w:eastAsiaTheme="minorEastAsia" w:hAnsi="Times New Roman"/>
          <w:lang w:eastAsia="ko-KR"/>
        </w:rPr>
        <w:t xml:space="preserve"> individual and household characteristics. </w:t>
      </w:r>
      <w:bookmarkStart w:id="31" w:name="_Hlk168598481"/>
      <w:r w:rsidR="00396E1E" w:rsidRPr="003518AB">
        <w:rPr>
          <w:rFonts w:ascii="Times New Roman" w:eastAsiaTheme="minorEastAsia" w:hAnsi="Times New Roman"/>
          <w:lang w:eastAsia="ko-KR"/>
        </w:rPr>
        <w:t xml:space="preserve">Additionally, we </w:t>
      </w:r>
      <w:r w:rsidR="00874470" w:rsidRPr="003518AB">
        <w:rPr>
          <w:rFonts w:ascii="Times New Roman" w:eastAsiaTheme="minorEastAsia" w:hAnsi="Times New Roman"/>
          <w:lang w:eastAsia="ko-KR"/>
        </w:rPr>
        <w:t xml:space="preserve">also considered regional residence within the U.S. </w:t>
      </w:r>
      <w:r w:rsidR="00396E1E" w:rsidRPr="003518AB">
        <w:rPr>
          <w:rFonts w:ascii="Times New Roman" w:eastAsiaTheme="minorEastAsia" w:hAnsi="Times New Roman"/>
          <w:lang w:eastAsia="ko-KR"/>
        </w:rPr>
        <w:t xml:space="preserve">to </w:t>
      </w:r>
      <w:r w:rsidR="00874470" w:rsidRPr="003518AB">
        <w:rPr>
          <w:rFonts w:ascii="Times New Roman" w:eastAsiaTheme="minorEastAsia" w:hAnsi="Times New Roman"/>
          <w:lang w:eastAsia="ko-KR"/>
        </w:rPr>
        <w:t>capture heterogeneity in</w:t>
      </w:r>
      <w:r w:rsidR="00396E1E" w:rsidRPr="003518AB">
        <w:rPr>
          <w:rFonts w:ascii="Times New Roman" w:eastAsiaTheme="minorEastAsia" w:hAnsi="Times New Roman"/>
          <w:lang w:eastAsia="ko-KR"/>
        </w:rPr>
        <w:t xml:space="preserve"> weather and social environment.</w:t>
      </w:r>
      <w:r w:rsidR="00212F6A" w:rsidRPr="003518AB">
        <w:rPr>
          <w:rStyle w:val="FootnoteReference"/>
          <w:rFonts w:ascii="Times New Roman" w:eastAsiaTheme="minorEastAsia" w:hAnsi="Times New Roman"/>
          <w:lang w:eastAsia="ko-KR"/>
        </w:rPr>
        <w:footnoteReference w:id="4"/>
      </w:r>
      <w:r w:rsidR="00396E1E" w:rsidRPr="003518AB">
        <w:rPr>
          <w:rFonts w:ascii="Times New Roman" w:eastAsiaTheme="minorEastAsia" w:hAnsi="Times New Roman"/>
          <w:lang w:eastAsia="ko-KR"/>
        </w:rPr>
        <w:t xml:space="preserve"> </w:t>
      </w:r>
      <w:bookmarkEnd w:id="31"/>
      <w:r w:rsidR="00C67E6D" w:rsidRPr="003518AB">
        <w:rPr>
          <w:rFonts w:ascii="Times New Roman" w:eastAsiaTheme="minorEastAsia" w:hAnsi="Times New Roman"/>
          <w:lang w:eastAsia="ko-KR"/>
        </w:rPr>
        <w:t>Individual</w:t>
      </w:r>
      <w:r w:rsidR="0062324F" w:rsidRPr="003518AB">
        <w:rPr>
          <w:rFonts w:ascii="Times New Roman" w:eastAsiaTheme="minorEastAsia" w:hAnsi="Times New Roman"/>
          <w:lang w:eastAsia="ko-KR"/>
        </w:rPr>
        <w:t>-related</w:t>
      </w:r>
      <w:r w:rsidR="00C67E6D" w:rsidRPr="003518AB">
        <w:rPr>
          <w:rFonts w:ascii="Times New Roman" w:eastAsiaTheme="minorEastAsia" w:hAnsi="Times New Roman"/>
          <w:lang w:eastAsia="ko-KR"/>
        </w:rPr>
        <w:t xml:space="preserve"> factors </w:t>
      </w:r>
      <w:r w:rsidR="00DC71ED" w:rsidRPr="003518AB">
        <w:rPr>
          <w:rFonts w:ascii="Times New Roman" w:eastAsiaTheme="minorEastAsia" w:hAnsi="Times New Roman"/>
          <w:lang w:eastAsia="ko-KR"/>
        </w:rPr>
        <w:t xml:space="preserve">include </w:t>
      </w:r>
      <w:r w:rsidR="00C67E6D" w:rsidRPr="003518AB">
        <w:rPr>
          <w:rFonts w:ascii="Times New Roman" w:eastAsiaTheme="minorEastAsia" w:hAnsi="Times New Roman"/>
          <w:lang w:eastAsia="ko-KR"/>
        </w:rPr>
        <w:t>age, gender, education level, employment status, and race</w:t>
      </w:r>
      <w:r w:rsidR="00396E1E" w:rsidRPr="003518AB">
        <w:rPr>
          <w:rFonts w:ascii="Times New Roman" w:eastAsiaTheme="minorEastAsia" w:hAnsi="Times New Roman"/>
          <w:lang w:eastAsia="ko-KR"/>
        </w:rPr>
        <w:t xml:space="preserve">. </w:t>
      </w:r>
      <w:r w:rsidR="00B00689" w:rsidRPr="003518AB">
        <w:rPr>
          <w:rFonts w:ascii="Times New Roman" w:eastAsiaTheme="minorEastAsia" w:hAnsi="Times New Roman"/>
          <w:lang w:eastAsia="ko-KR"/>
        </w:rPr>
        <w:t xml:space="preserve">Household characteristics </w:t>
      </w:r>
      <w:r w:rsidR="000E0D83" w:rsidRPr="003518AB">
        <w:rPr>
          <w:rFonts w:ascii="Times New Roman" w:eastAsiaTheme="minorEastAsia" w:hAnsi="Times New Roman"/>
          <w:lang w:eastAsia="ko-KR"/>
        </w:rPr>
        <w:t xml:space="preserve">include </w:t>
      </w:r>
      <w:r w:rsidR="00B00689" w:rsidRPr="003518AB">
        <w:rPr>
          <w:rFonts w:ascii="Times New Roman" w:eastAsiaTheme="minorEastAsia" w:hAnsi="Times New Roman"/>
          <w:lang w:eastAsia="ko-KR"/>
        </w:rPr>
        <w:t>household income, marital status, and household composition.</w:t>
      </w:r>
      <w:r w:rsidR="00396E1E" w:rsidRPr="003518AB">
        <w:rPr>
          <w:rFonts w:ascii="Times New Roman" w:eastAsiaTheme="minorEastAsia" w:hAnsi="Times New Roman"/>
          <w:lang w:eastAsia="ko-KR"/>
        </w:rPr>
        <w:t xml:space="preserve"> </w:t>
      </w:r>
      <w:r w:rsidR="00B00689" w:rsidRPr="003518AB">
        <w:rPr>
          <w:rFonts w:ascii="Times New Roman" w:eastAsiaTheme="minorEastAsia" w:hAnsi="Times New Roman"/>
          <w:lang w:eastAsia="ko-KR"/>
        </w:rPr>
        <w:t>Benchmark data from NORC’s report, derived from the U</w:t>
      </w:r>
      <w:r w:rsidR="0062324F" w:rsidRPr="003518AB">
        <w:rPr>
          <w:rFonts w:ascii="Times New Roman" w:eastAsiaTheme="minorEastAsia" w:hAnsi="Times New Roman"/>
          <w:lang w:eastAsia="ko-KR"/>
        </w:rPr>
        <w:t>.</w:t>
      </w:r>
      <w:r w:rsidR="00B00689" w:rsidRPr="003518AB">
        <w:rPr>
          <w:rFonts w:ascii="Times New Roman" w:eastAsiaTheme="minorEastAsia" w:hAnsi="Times New Roman"/>
          <w:lang w:eastAsia="ko-KR"/>
        </w:rPr>
        <w:t>S</w:t>
      </w:r>
      <w:r w:rsidR="0062324F" w:rsidRPr="003518AB">
        <w:rPr>
          <w:rFonts w:ascii="Times New Roman" w:eastAsiaTheme="minorEastAsia" w:hAnsi="Times New Roman"/>
          <w:lang w:eastAsia="ko-KR"/>
        </w:rPr>
        <w:t>.</w:t>
      </w:r>
      <w:r w:rsidR="00B00689" w:rsidRPr="003518AB">
        <w:rPr>
          <w:rFonts w:ascii="Times New Roman" w:eastAsiaTheme="minorEastAsia" w:hAnsi="Times New Roman"/>
          <w:lang w:eastAsia="ko-KR"/>
        </w:rPr>
        <w:t xml:space="preserve"> Census Current Population Survey (CPS) and the American Community Survey, were used to</w:t>
      </w:r>
      <w:r w:rsidR="00DC71ED" w:rsidRPr="003518AB">
        <w:rPr>
          <w:rFonts w:ascii="Times New Roman" w:eastAsiaTheme="minorEastAsia" w:hAnsi="Times New Roman"/>
          <w:lang w:eastAsia="ko-KR"/>
        </w:rPr>
        <w:t xml:space="preserve"> determine</w:t>
      </w:r>
      <w:r w:rsidR="00B00689" w:rsidRPr="003518AB">
        <w:rPr>
          <w:rFonts w:ascii="Times New Roman" w:eastAsiaTheme="minorEastAsia" w:hAnsi="Times New Roman"/>
          <w:lang w:eastAsia="ko-KR"/>
        </w:rPr>
        <w:t xml:space="preserve"> the sample</w:t>
      </w:r>
      <w:r w:rsidR="00137F85" w:rsidRPr="003518AB">
        <w:rPr>
          <w:rFonts w:ascii="Times New Roman" w:eastAsiaTheme="minorEastAsia" w:hAnsi="Times New Roman"/>
          <w:lang w:eastAsia="ko-KR"/>
        </w:rPr>
        <w:t>’</w:t>
      </w:r>
      <w:r w:rsidR="00B00689" w:rsidRPr="003518AB">
        <w:rPr>
          <w:rFonts w:ascii="Times New Roman" w:eastAsiaTheme="minorEastAsia" w:hAnsi="Times New Roman"/>
          <w:lang w:eastAsia="ko-KR"/>
        </w:rPr>
        <w:t>s representativeness</w:t>
      </w:r>
      <w:r w:rsidR="00DC71ED" w:rsidRPr="003518AB">
        <w:rPr>
          <w:rFonts w:ascii="Times New Roman" w:eastAsiaTheme="minorEastAsia" w:hAnsi="Times New Roman"/>
          <w:lang w:eastAsia="ko-KR"/>
        </w:rPr>
        <w:t xml:space="preserve"> of the broader </w:t>
      </w:r>
      <w:r w:rsidR="0069558B" w:rsidRPr="003518AB">
        <w:rPr>
          <w:rFonts w:ascii="Times New Roman" w:eastAsiaTheme="minorEastAsia" w:hAnsi="Times New Roman"/>
          <w:lang w:eastAsia="ko-KR"/>
        </w:rPr>
        <w:t xml:space="preserve">50+ U.S. </w:t>
      </w:r>
      <w:r w:rsidR="00DC71ED" w:rsidRPr="003518AB">
        <w:rPr>
          <w:rFonts w:ascii="Times New Roman" w:eastAsiaTheme="minorEastAsia" w:hAnsi="Times New Roman"/>
          <w:lang w:eastAsia="ko-KR"/>
        </w:rPr>
        <w:t>population</w:t>
      </w:r>
      <w:r w:rsidR="00B00689" w:rsidRPr="003518AB">
        <w:rPr>
          <w:rFonts w:ascii="Times New Roman" w:eastAsiaTheme="minorEastAsia" w:hAnsi="Times New Roman"/>
          <w:lang w:eastAsia="ko-KR"/>
        </w:rPr>
        <w:t xml:space="preserve">, as depicted in Table </w:t>
      </w:r>
      <w:r w:rsidR="00137F85" w:rsidRPr="003518AB">
        <w:rPr>
          <w:rFonts w:ascii="Times New Roman" w:eastAsiaTheme="minorEastAsia" w:hAnsi="Times New Roman"/>
          <w:lang w:eastAsia="ko-KR"/>
        </w:rPr>
        <w:t>2</w:t>
      </w:r>
      <w:r w:rsidR="0033018C" w:rsidRPr="003518AB">
        <w:rPr>
          <w:rFonts w:ascii="Times New Roman" w:eastAsiaTheme="minorEastAsia" w:hAnsi="Times New Roman"/>
          <w:color w:val="000000" w:themeColor="text1"/>
          <w:szCs w:val="24"/>
          <w:lang w:eastAsia="ko-KR"/>
        </w:rPr>
        <w:fldChar w:fldCharType="begin"/>
      </w:r>
      <w:r w:rsidR="002F0EF8" w:rsidRPr="003518AB">
        <w:rPr>
          <w:rFonts w:ascii="Times New Roman" w:eastAsiaTheme="minorEastAsia" w:hAnsi="Times New Roman"/>
          <w:color w:val="000000" w:themeColor="text1"/>
          <w:szCs w:val="24"/>
          <w:lang w:eastAsia="ko-KR"/>
        </w:rPr>
        <w:instrText xml:space="preserve"> ADDIN ZOTERO_ITEM CSL_CITATION {"citationID":"Wt7dL4mL","properties":{"formattedCitation":"(AARP &amp; NORC, 2022)","plainCitation":"(AARP &amp; NORC, 2022)","dontUpdate":true,"noteIndex":0},"citationItems":[{"id":1025,"uris":["http://zotero.org/users/10132210/items/WCDFG7HM"],"itemData":{"id":1025,"type":"document","title":"Foresight 50+ demographics report","URL":"https://www.norc.org/content/dam/norc-org/pdfs/FINAL%20-%20Demographic%20Report%20for%20Foresight%2050+%20--%20April%202022.pdf","author":[{"family":"AARP","given":""},{"family":"NORC","given":""}],"issued":{"date-parts":[["2022",4]]}}}],"schema":"https://github.com/citation-style-language/schema/raw/master/csl-citation.json"} </w:instrText>
      </w:r>
      <w:r w:rsidR="0033018C" w:rsidRPr="003518AB">
        <w:rPr>
          <w:rFonts w:ascii="Times New Roman" w:eastAsiaTheme="minorEastAsia" w:hAnsi="Times New Roman"/>
          <w:color w:val="000000" w:themeColor="text1"/>
          <w:szCs w:val="24"/>
          <w:lang w:eastAsia="ko-KR"/>
        </w:rPr>
        <w:fldChar w:fldCharType="separate"/>
      </w:r>
      <w:r w:rsidR="00B00689" w:rsidRPr="003518AB">
        <w:rPr>
          <w:rFonts w:ascii="Times New Roman" w:eastAsiaTheme="minorEastAsia" w:hAnsi="Times New Roman"/>
          <w:color w:val="000000" w:themeColor="text1"/>
          <w:szCs w:val="24"/>
          <w:lang w:eastAsia="ko-KR"/>
        </w:rPr>
        <w:t xml:space="preserve"> </w:t>
      </w:r>
      <w:r w:rsidR="0033018C" w:rsidRPr="003518AB">
        <w:rPr>
          <w:rFonts w:ascii="Times New Roman" w:hAnsi="Times New Roman"/>
        </w:rPr>
        <w:t xml:space="preserve">(AARP </w:t>
      </w:r>
      <w:r w:rsidR="00F55DF2" w:rsidRPr="003518AB">
        <w:rPr>
          <w:rFonts w:ascii="Times New Roman" w:hAnsi="Times New Roman"/>
        </w:rPr>
        <w:t>and</w:t>
      </w:r>
      <w:r w:rsidR="0033018C" w:rsidRPr="003518AB">
        <w:rPr>
          <w:rFonts w:ascii="Times New Roman" w:hAnsi="Times New Roman"/>
        </w:rPr>
        <w:t xml:space="preserve"> NORC, 2022)</w:t>
      </w:r>
      <w:r w:rsidR="0033018C" w:rsidRPr="003518AB">
        <w:rPr>
          <w:rFonts w:ascii="Times New Roman" w:eastAsiaTheme="minorEastAsia" w:hAnsi="Times New Roman"/>
          <w:color w:val="000000" w:themeColor="text1"/>
          <w:szCs w:val="24"/>
          <w:lang w:eastAsia="ko-KR"/>
        </w:rPr>
        <w:fldChar w:fldCharType="end"/>
      </w:r>
      <w:r w:rsidR="0034149A" w:rsidRPr="003518AB">
        <w:rPr>
          <w:rFonts w:ascii="Times New Roman" w:eastAsiaTheme="minorEastAsia" w:hAnsi="Times New Roman"/>
          <w:color w:val="000000" w:themeColor="text1"/>
          <w:szCs w:val="24"/>
          <w:lang w:eastAsia="ko-KR"/>
        </w:rPr>
        <w:t xml:space="preserve">. </w:t>
      </w:r>
      <w:r w:rsidR="0069558B" w:rsidRPr="003518AB">
        <w:rPr>
          <w:rFonts w:ascii="Times New Roman" w:eastAsiaTheme="minorEastAsia" w:hAnsi="Times New Roman"/>
          <w:color w:val="000000" w:themeColor="text1"/>
          <w:szCs w:val="24"/>
          <w:lang w:eastAsia="ko-KR"/>
        </w:rPr>
        <w:t xml:space="preserve">There was a </w:t>
      </w:r>
      <w:r w:rsidR="0069558B" w:rsidRPr="003518AB">
        <w:rPr>
          <w:rFonts w:ascii="Times New Roman" w:hAnsi="Times New Roman"/>
          <w:color w:val="000000"/>
          <w:szCs w:val="24"/>
        </w:rPr>
        <w:t>deliberate oversampling of individuals of non-white origin in the NORC survey, as evidenced in the 44.8% of white, non-Hispanic individuals relative to the corresponding census statistic is 70.7% for individuals aged 50 and over), and the clear over</w:t>
      </w:r>
      <w:r w:rsidR="00A16F8A" w:rsidRPr="003518AB">
        <w:rPr>
          <w:rFonts w:ascii="Times New Roman" w:hAnsi="Times New Roman"/>
          <w:color w:val="000000"/>
          <w:szCs w:val="24"/>
        </w:rPr>
        <w:t>-</w:t>
      </w:r>
      <w:r w:rsidR="0069558B" w:rsidRPr="003518AB">
        <w:rPr>
          <w:rFonts w:ascii="Times New Roman" w:hAnsi="Times New Roman"/>
          <w:color w:val="000000"/>
          <w:szCs w:val="24"/>
        </w:rPr>
        <w:t xml:space="preserve">representation of individuals of non-Hispanic Black, non-Hispanic Asian, and Hispanic origin. </w:t>
      </w:r>
      <w:r w:rsidR="0069558B" w:rsidRPr="003518AB">
        <w:rPr>
          <w:rFonts w:ascii="Times New Roman" w:hAnsi="Times New Roman"/>
        </w:rPr>
        <w:t xml:space="preserve">The comparisons </w:t>
      </w:r>
      <w:r w:rsidR="00B837E8" w:rsidRPr="003518AB">
        <w:rPr>
          <w:rFonts w:ascii="Times New Roman" w:hAnsi="Times New Roman"/>
        </w:rPr>
        <w:t xml:space="preserve">also </w:t>
      </w:r>
      <w:r w:rsidR="0069558B" w:rsidRPr="003518AB">
        <w:rPr>
          <w:rFonts w:ascii="Times New Roman" w:hAnsi="Times New Roman"/>
        </w:rPr>
        <w:t>reveal an over</w:t>
      </w:r>
      <w:r w:rsidR="00A16F8A" w:rsidRPr="003518AB">
        <w:rPr>
          <w:rFonts w:ascii="Times New Roman" w:hAnsi="Times New Roman"/>
        </w:rPr>
        <w:t>-</w:t>
      </w:r>
      <w:r w:rsidR="0069558B" w:rsidRPr="003518AB">
        <w:rPr>
          <w:rFonts w:ascii="Times New Roman" w:hAnsi="Times New Roman"/>
        </w:rPr>
        <w:t>representation</w:t>
      </w:r>
      <w:r w:rsidR="0069558B" w:rsidRPr="003518AB">
        <w:rPr>
          <w:rFonts w:ascii="Times New Roman" w:eastAsiaTheme="minorEastAsia" w:hAnsi="Times New Roman"/>
          <w:lang w:eastAsia="ko-KR"/>
        </w:rPr>
        <w:t xml:space="preserve"> of </w:t>
      </w:r>
      <w:r w:rsidR="00B837E8" w:rsidRPr="003518AB">
        <w:rPr>
          <w:rFonts w:ascii="Times New Roman" w:eastAsiaTheme="minorEastAsia" w:hAnsi="Times New Roman"/>
          <w:lang w:eastAsia="ko-KR"/>
        </w:rPr>
        <w:t xml:space="preserve">(a) </w:t>
      </w:r>
      <w:r w:rsidR="0069558B" w:rsidRPr="003518AB">
        <w:rPr>
          <w:rFonts w:ascii="Times New Roman" w:eastAsiaTheme="minorEastAsia" w:hAnsi="Times New Roman"/>
          <w:lang w:eastAsia="ko-KR"/>
        </w:rPr>
        <w:t>senior individuals (65 years or older), men, individuals with middle and higher levels of education, employed</w:t>
      </w:r>
      <w:r w:rsidR="00B837E8" w:rsidRPr="003518AB">
        <w:rPr>
          <w:rFonts w:ascii="Times New Roman" w:eastAsiaTheme="minorEastAsia" w:hAnsi="Times New Roman"/>
          <w:lang w:eastAsia="ko-KR"/>
        </w:rPr>
        <w:t xml:space="preserve"> individuals</w:t>
      </w:r>
      <w:r w:rsidR="0069558B" w:rsidRPr="003518AB">
        <w:rPr>
          <w:rFonts w:ascii="Times New Roman" w:eastAsiaTheme="minorEastAsia" w:hAnsi="Times New Roman"/>
          <w:lang w:eastAsia="ko-KR"/>
        </w:rPr>
        <w:t xml:space="preserve">, </w:t>
      </w:r>
      <w:r w:rsidR="00B837E8" w:rsidRPr="003518AB">
        <w:rPr>
          <w:rFonts w:ascii="Times New Roman" w:eastAsiaTheme="minorEastAsia" w:hAnsi="Times New Roman"/>
          <w:lang w:eastAsia="ko-KR"/>
        </w:rPr>
        <w:t>and never-married individuals, and (b) h</w:t>
      </w:r>
      <w:r w:rsidR="0069558B" w:rsidRPr="003518AB">
        <w:rPr>
          <w:rFonts w:ascii="Times New Roman" w:eastAsiaTheme="minorEastAsia" w:hAnsi="Times New Roman"/>
          <w:lang w:eastAsia="ko-KR"/>
        </w:rPr>
        <w:t>ouseholds with a middle-income level and those living with children</w:t>
      </w:r>
      <w:r w:rsidR="00FE4B07" w:rsidRPr="003518AB">
        <w:rPr>
          <w:rFonts w:ascii="Times New Roman" w:eastAsiaTheme="minorEastAsia" w:hAnsi="Times New Roman"/>
          <w:lang w:eastAsia="ko-KR"/>
        </w:rPr>
        <w:t xml:space="preserve"> (a child was defined in the survey as an individual less than the age of 18 years)</w:t>
      </w:r>
      <w:r w:rsidR="0069558B" w:rsidRPr="003518AB">
        <w:rPr>
          <w:rFonts w:ascii="Times New Roman" w:eastAsiaTheme="minorEastAsia" w:hAnsi="Times New Roman"/>
          <w:lang w:eastAsia="ko-KR"/>
        </w:rPr>
        <w:t>.</w:t>
      </w:r>
      <w:r w:rsidR="00FE4B07" w:rsidRPr="003518AB">
        <w:rPr>
          <w:rFonts w:ascii="Times New Roman" w:eastAsiaTheme="minorEastAsia" w:hAnsi="Times New Roman"/>
          <w:lang w:eastAsia="ko-KR"/>
        </w:rPr>
        <w:t xml:space="preserve"> </w:t>
      </w:r>
    </w:p>
    <w:p w14:paraId="2CB0C44C" w14:textId="133B68C1" w:rsidR="0069558B" w:rsidRDefault="0069558B" w:rsidP="003518AB">
      <w:pPr>
        <w:ind w:firstLine="720"/>
        <w:jc w:val="both"/>
        <w:rPr>
          <w:rFonts w:ascii="Times New Roman" w:eastAsiaTheme="minorEastAsia" w:hAnsi="Times New Roman"/>
          <w:szCs w:val="24"/>
          <w:lang w:eastAsia="ko-KR"/>
        </w:rPr>
      </w:pPr>
      <w:r w:rsidRPr="003518AB">
        <w:rPr>
          <w:rFonts w:ascii="Times New Roman" w:hAnsi="Times New Roman"/>
          <w:szCs w:val="24"/>
        </w:rPr>
        <w:t>In estimation, we use the unweighted sample</w:t>
      </w:r>
      <w:r w:rsidR="00FC192E" w:rsidRPr="003518AB">
        <w:rPr>
          <w:rFonts w:ascii="Times New Roman" w:hAnsi="Times New Roman"/>
          <w:szCs w:val="24"/>
        </w:rPr>
        <w:t>, given our</w:t>
      </w:r>
      <w:r w:rsidRPr="003518AB">
        <w:rPr>
          <w:rFonts w:ascii="Times New Roman" w:hAnsi="Times New Roman"/>
          <w:szCs w:val="24"/>
        </w:rPr>
        <w:t xml:space="preserve"> focus is </w:t>
      </w:r>
      <w:r w:rsidR="00FC192E" w:rsidRPr="003518AB">
        <w:rPr>
          <w:rFonts w:ascii="Times New Roman" w:hAnsi="Times New Roman"/>
          <w:szCs w:val="24"/>
        </w:rPr>
        <w:t xml:space="preserve">to </w:t>
      </w:r>
      <w:r w:rsidRPr="003518AB">
        <w:rPr>
          <w:rFonts w:ascii="Times New Roman" w:hAnsi="Times New Roman"/>
          <w:szCs w:val="24"/>
        </w:rPr>
        <w:t>estimat</w:t>
      </w:r>
      <w:r w:rsidR="00FC192E" w:rsidRPr="003518AB">
        <w:rPr>
          <w:rFonts w:ascii="Times New Roman" w:hAnsi="Times New Roman"/>
          <w:szCs w:val="24"/>
        </w:rPr>
        <w:t xml:space="preserve">e </w:t>
      </w:r>
      <w:r w:rsidRPr="003518AB">
        <w:rPr>
          <w:rFonts w:ascii="Times New Roman" w:hAnsi="Times New Roman"/>
          <w:szCs w:val="24"/>
        </w:rPr>
        <w:t xml:space="preserve">individual-level relationships </w:t>
      </w:r>
      <w:r w:rsidR="00FC192E" w:rsidRPr="003518AB">
        <w:rPr>
          <w:rFonts w:ascii="Times New Roman" w:hAnsi="Times New Roman"/>
          <w:szCs w:val="24"/>
        </w:rPr>
        <w:t xml:space="preserve">of the effect of </w:t>
      </w:r>
      <w:r w:rsidRPr="003518AB">
        <w:rPr>
          <w:rFonts w:ascii="Times New Roman" w:hAnsi="Times New Roman"/>
          <w:szCs w:val="24"/>
        </w:rPr>
        <w:t xml:space="preserve">changes in exogenous </w:t>
      </w:r>
      <w:r w:rsidR="00FC192E" w:rsidRPr="003518AB">
        <w:rPr>
          <w:rFonts w:ascii="Times New Roman" w:hAnsi="Times New Roman"/>
          <w:szCs w:val="24"/>
        </w:rPr>
        <w:t>variables</w:t>
      </w:r>
      <w:r w:rsidRPr="003518AB">
        <w:rPr>
          <w:rFonts w:ascii="Times New Roman" w:hAnsi="Times New Roman"/>
          <w:szCs w:val="24"/>
        </w:rPr>
        <w:t xml:space="preserve"> </w:t>
      </w:r>
      <w:r w:rsidR="00FC192E" w:rsidRPr="003518AB">
        <w:rPr>
          <w:rFonts w:ascii="Times New Roman" w:hAnsi="Times New Roman"/>
          <w:szCs w:val="24"/>
        </w:rPr>
        <w:t>on the endogenous outcomes</w:t>
      </w:r>
      <w:r w:rsidRPr="003518AB">
        <w:rPr>
          <w:rFonts w:ascii="Times New Roman" w:hAnsi="Times New Roman"/>
          <w:szCs w:val="24"/>
        </w:rPr>
        <w:t xml:space="preserve">. </w:t>
      </w:r>
      <w:r w:rsidR="00FC192E" w:rsidRPr="003518AB">
        <w:rPr>
          <w:rFonts w:ascii="Times New Roman" w:hAnsi="Times New Roman"/>
          <w:szCs w:val="24"/>
        </w:rPr>
        <w:t xml:space="preserve">Thus, the main </w:t>
      </w:r>
      <w:r w:rsidRPr="003518AB">
        <w:rPr>
          <w:rFonts w:ascii="Times New Roman" w:hAnsi="Times New Roman"/>
          <w:szCs w:val="24"/>
        </w:rPr>
        <w:t xml:space="preserve">consideration </w:t>
      </w:r>
      <w:r w:rsidR="00FC192E" w:rsidRPr="003518AB">
        <w:rPr>
          <w:rFonts w:ascii="Times New Roman" w:hAnsi="Times New Roman"/>
          <w:szCs w:val="24"/>
        </w:rPr>
        <w:t xml:space="preserve">relates to </w:t>
      </w:r>
      <w:r w:rsidRPr="003518AB">
        <w:rPr>
          <w:rFonts w:ascii="Times New Roman" w:hAnsi="Times New Roman"/>
          <w:szCs w:val="24"/>
        </w:rPr>
        <w:t>whether the</w:t>
      </w:r>
      <w:r w:rsidR="00FC192E" w:rsidRPr="003518AB">
        <w:rPr>
          <w:rFonts w:ascii="Times New Roman" w:hAnsi="Times New Roman"/>
          <w:szCs w:val="24"/>
        </w:rPr>
        <w:t xml:space="preserve"> </w:t>
      </w:r>
      <w:r w:rsidRPr="003518AB">
        <w:rPr>
          <w:rFonts w:ascii="Times New Roman" w:hAnsi="Times New Roman"/>
          <w:szCs w:val="24"/>
        </w:rPr>
        <w:t>sampling strategy is endogenous or exogenous to</w:t>
      </w:r>
      <w:r w:rsidR="00A16F8A" w:rsidRPr="003518AB">
        <w:rPr>
          <w:rFonts w:ascii="Times New Roman" w:hAnsi="Times New Roman"/>
          <w:szCs w:val="24"/>
        </w:rPr>
        <w:t xml:space="preserve"> the</w:t>
      </w:r>
      <w:r w:rsidRPr="003518AB">
        <w:rPr>
          <w:rFonts w:ascii="Times New Roman" w:hAnsi="Times New Roman"/>
          <w:szCs w:val="24"/>
        </w:rPr>
        <w:t xml:space="preserve"> modeled outcomes. </w:t>
      </w:r>
      <w:r w:rsidR="00FC192E" w:rsidRPr="003518AB">
        <w:rPr>
          <w:rFonts w:ascii="Times New Roman" w:hAnsi="Times New Roman"/>
          <w:szCs w:val="24"/>
        </w:rPr>
        <w:t xml:space="preserve">Because our sample corresponds to exogenous sampling, </w:t>
      </w:r>
      <w:r w:rsidRPr="003518AB">
        <w:rPr>
          <w:rFonts w:ascii="Times New Roman" w:hAnsi="Times New Roman"/>
          <w:szCs w:val="24"/>
        </w:rPr>
        <w:t xml:space="preserve">we use the </w:t>
      </w:r>
      <w:r w:rsidR="00FC192E" w:rsidRPr="003518AB">
        <w:rPr>
          <w:rFonts w:ascii="Times New Roman" w:hAnsi="Times New Roman"/>
          <w:szCs w:val="24"/>
        </w:rPr>
        <w:t xml:space="preserve">efficient and consistent </w:t>
      </w:r>
      <w:r w:rsidRPr="003518AB">
        <w:rPr>
          <w:rFonts w:ascii="Times New Roman" w:hAnsi="Times New Roman"/>
          <w:szCs w:val="24"/>
        </w:rPr>
        <w:t>unweighted approach (see also</w:t>
      </w:r>
      <w:r w:rsidR="00403B9D" w:rsidRPr="003518AB">
        <w:rPr>
          <w:rFonts w:ascii="Times New Roman" w:eastAsiaTheme="minorEastAsia" w:hAnsi="Times New Roman"/>
          <w:szCs w:val="24"/>
          <w:lang w:eastAsia="ko-KR"/>
        </w:rPr>
        <w:t xml:space="preserve"> </w:t>
      </w:r>
      <w:r w:rsidR="00403B9D" w:rsidRPr="003518AB">
        <w:rPr>
          <w:rFonts w:ascii="Times New Roman" w:eastAsiaTheme="minorEastAsia" w:hAnsi="Times New Roman"/>
          <w:szCs w:val="24"/>
          <w:lang w:eastAsia="ko-KR"/>
        </w:rPr>
        <w:fldChar w:fldCharType="begin"/>
      </w:r>
      <w:r w:rsidR="003B3F4D" w:rsidRPr="003518AB">
        <w:rPr>
          <w:rFonts w:ascii="Times New Roman" w:eastAsiaTheme="minorEastAsia" w:hAnsi="Times New Roman"/>
          <w:szCs w:val="24"/>
          <w:lang w:eastAsia="ko-KR"/>
        </w:rPr>
        <w:instrText xml:space="preserve"> ADDIN ZOTERO_ITEM CSL_CITATION {"citationID":"Kl5PdrqL","properties":{"unsorted":true,"formattedCitation":"(Wooldridge, 1995; Solon et al., 2015)","plainCitation":"(Wooldridge, 1995; Solon et al., 2015)","dontUpdate":true,"noteIndex":0},"citationItems":[{"id":1247,"uris":["http://zotero.org/users/10132210/items/FD8DXMH7"],"itemData":{"id":1247,"type":"article-journal","container-title":"Journal of econometrics","issue":"1","note":"publisher: Elsevier","page":"115–132","title":"Selection corrections for panel data models under conditional mean independence assumptions","volume":"68","author":[{"family":"Wooldridge","given":"Jeffrey M"}],"issued":{"date-parts":[["1995"]]}}},{"id":1246,"uris":["http://zotero.org/users/10132210/items/HFQRXJFP"],"itemData":{"id":1246,"type":"article-journal","container-title":"Journal of Human resources","issue":"2","note":"publisher: University of Wisconsin Press","page":"301–316","title":"What are we weighting for?","volume":"50","author":[{"family":"Solon","given":"Gary"},{"family":"Haider","given":"Steven J"},{"family":"Wooldridge","given":"Jeffrey M"}],"issued":{"date-parts":[["2015"]]}}}],"schema":"https://github.com/citation-style-language/schema/raw/master/csl-citation.json"} </w:instrText>
      </w:r>
      <w:r w:rsidR="00403B9D" w:rsidRPr="003518AB">
        <w:rPr>
          <w:rFonts w:ascii="Times New Roman" w:eastAsiaTheme="minorEastAsia" w:hAnsi="Times New Roman"/>
          <w:szCs w:val="24"/>
          <w:lang w:eastAsia="ko-KR"/>
        </w:rPr>
        <w:fldChar w:fldCharType="separate"/>
      </w:r>
      <w:r w:rsidR="00656149" w:rsidRPr="003518AB">
        <w:rPr>
          <w:rFonts w:ascii="Times New Roman" w:hAnsi="Times New Roman"/>
        </w:rPr>
        <w:t>Wooldridge, 1995</w:t>
      </w:r>
      <w:r w:rsidR="00656149" w:rsidRPr="003518AB">
        <w:rPr>
          <w:rFonts w:ascii="Times New Roman" w:eastAsiaTheme="minorEastAsia" w:hAnsi="Times New Roman"/>
          <w:lang w:eastAsia="ko-KR"/>
        </w:rPr>
        <w:t xml:space="preserve"> and </w:t>
      </w:r>
      <w:r w:rsidR="00656149" w:rsidRPr="003518AB">
        <w:rPr>
          <w:rFonts w:ascii="Times New Roman" w:hAnsi="Times New Roman"/>
        </w:rPr>
        <w:t>Solon et al., 2015)</w:t>
      </w:r>
      <w:r w:rsidR="00403B9D" w:rsidRPr="003518AB">
        <w:rPr>
          <w:rFonts w:ascii="Times New Roman" w:eastAsiaTheme="minorEastAsia" w:hAnsi="Times New Roman"/>
          <w:szCs w:val="24"/>
          <w:lang w:eastAsia="ko-KR"/>
        </w:rPr>
        <w:fldChar w:fldCharType="end"/>
      </w:r>
      <w:r w:rsidR="00656149" w:rsidRPr="003518AB">
        <w:rPr>
          <w:rFonts w:ascii="Times New Roman" w:eastAsiaTheme="minorEastAsia" w:hAnsi="Times New Roman"/>
          <w:szCs w:val="24"/>
          <w:lang w:eastAsia="ko-KR"/>
        </w:rPr>
        <w:t>.</w:t>
      </w:r>
    </w:p>
    <w:p w14:paraId="692E63FE" w14:textId="77777777" w:rsidR="007F24B9" w:rsidRPr="003518AB" w:rsidRDefault="007F24B9" w:rsidP="007F24B9">
      <w:pPr>
        <w:jc w:val="both"/>
        <w:rPr>
          <w:rFonts w:ascii="Times New Roman" w:eastAsiaTheme="minorEastAsia" w:hAnsi="Times New Roman"/>
          <w:szCs w:val="24"/>
          <w:lang w:eastAsia="ko-KR"/>
        </w:rPr>
      </w:pPr>
    </w:p>
    <w:p w14:paraId="6AD2BE88" w14:textId="76617110" w:rsidR="00A16F8A" w:rsidRDefault="00A16F8A">
      <w:pPr>
        <w:rPr>
          <w:rFonts w:eastAsiaTheme="minorEastAsia"/>
          <w:lang w:eastAsia="ko-KR"/>
        </w:rPr>
      </w:pPr>
    </w:p>
    <w:p w14:paraId="0AC88940" w14:textId="44837F6D" w:rsidR="00E2767C" w:rsidRPr="00A02B56" w:rsidRDefault="00E2767C" w:rsidP="00797FA2">
      <w:pPr>
        <w:rPr>
          <w:rFonts w:ascii="Times New Roman" w:hAnsi="Times New Roman"/>
          <w:b/>
          <w:bCs/>
        </w:rPr>
      </w:pPr>
      <w:r w:rsidRPr="00A02B56">
        <w:rPr>
          <w:rFonts w:ascii="Times New Roman" w:hAnsi="Times New Roman"/>
          <w:b/>
          <w:bCs/>
        </w:rPr>
        <w:lastRenderedPageBreak/>
        <w:t xml:space="preserve">Table </w:t>
      </w:r>
      <w:r w:rsidRPr="00A02B56">
        <w:rPr>
          <w:rFonts w:ascii="Times New Roman" w:hAnsi="Times New Roman"/>
          <w:b/>
          <w:bCs/>
        </w:rPr>
        <w:fldChar w:fldCharType="begin"/>
      </w:r>
      <w:r w:rsidRPr="00A02B56">
        <w:rPr>
          <w:rFonts w:ascii="Times New Roman" w:hAnsi="Times New Roman"/>
          <w:b/>
          <w:bCs/>
        </w:rPr>
        <w:instrText xml:space="preserve"> SEQ Table \* ARABIC </w:instrText>
      </w:r>
      <w:r w:rsidRPr="00A02B56">
        <w:rPr>
          <w:rFonts w:ascii="Times New Roman" w:hAnsi="Times New Roman"/>
          <w:b/>
          <w:bCs/>
        </w:rPr>
        <w:fldChar w:fldCharType="separate"/>
      </w:r>
      <w:r w:rsidR="00D440F8">
        <w:rPr>
          <w:rFonts w:ascii="Times New Roman" w:hAnsi="Times New Roman"/>
          <w:b/>
          <w:bCs/>
          <w:noProof/>
        </w:rPr>
        <w:t>2</w:t>
      </w:r>
      <w:r w:rsidRPr="00A02B56">
        <w:rPr>
          <w:rFonts w:ascii="Times New Roman" w:hAnsi="Times New Roman"/>
          <w:b/>
          <w:bCs/>
        </w:rPr>
        <w:fldChar w:fldCharType="end"/>
      </w:r>
      <w:r w:rsidR="00AA7404">
        <w:rPr>
          <w:rFonts w:ascii="Times New Roman" w:hAnsi="Times New Roman"/>
          <w:b/>
          <w:bCs/>
        </w:rPr>
        <w:t>.</w:t>
      </w:r>
      <w:r w:rsidRPr="00A02B56">
        <w:rPr>
          <w:rFonts w:ascii="Times New Roman" w:eastAsiaTheme="minorEastAsia" w:hAnsi="Times New Roman"/>
          <w:b/>
          <w:bCs/>
          <w:lang w:eastAsia="ko-KR"/>
        </w:rPr>
        <w:t xml:space="preserve"> </w:t>
      </w:r>
      <w:r w:rsidR="00A02B56" w:rsidRPr="00A02B56">
        <w:rPr>
          <w:rFonts w:ascii="Times New Roman" w:eastAsiaTheme="minorEastAsia" w:hAnsi="Times New Roman" w:hint="eastAsia"/>
          <w:b/>
          <w:bCs/>
          <w:lang w:eastAsia="ko-KR"/>
        </w:rPr>
        <w:t>S</w:t>
      </w:r>
      <w:r w:rsidR="00A02B56" w:rsidRPr="00A02B56">
        <w:rPr>
          <w:rFonts w:ascii="Times New Roman" w:eastAsiaTheme="minorEastAsia" w:hAnsi="Times New Roman"/>
          <w:b/>
          <w:bCs/>
          <w:lang w:eastAsia="ko-KR"/>
        </w:rPr>
        <w:t>a</w:t>
      </w:r>
      <w:r w:rsidR="00A02B56" w:rsidRPr="00A02B56">
        <w:rPr>
          <w:rFonts w:ascii="Times New Roman" w:eastAsiaTheme="minorEastAsia" w:hAnsi="Times New Roman" w:hint="eastAsia"/>
          <w:b/>
          <w:bCs/>
          <w:lang w:eastAsia="ko-KR"/>
        </w:rPr>
        <w:t>mple Distribution of Exogenous Variables (N = 1,667)</w:t>
      </w:r>
    </w:p>
    <w:tbl>
      <w:tblPr>
        <w:tblStyle w:val="TableGrid"/>
        <w:tblW w:w="9337"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4117"/>
        <w:gridCol w:w="2520"/>
        <w:gridCol w:w="2700"/>
      </w:tblGrid>
      <w:tr w:rsidR="00396E1E" w:rsidRPr="007F24B9" w14:paraId="5A24E94D" w14:textId="77777777" w:rsidTr="007F24B9">
        <w:trPr>
          <w:trHeight w:val="289"/>
          <w:tblHeader/>
        </w:trPr>
        <w:tc>
          <w:tcPr>
            <w:tcW w:w="4117" w:type="dxa"/>
            <w:tcBorders>
              <w:top w:val="single" w:sz="18" w:space="0" w:color="auto"/>
              <w:left w:val="single" w:sz="18" w:space="0" w:color="auto"/>
              <w:bottom w:val="single" w:sz="4" w:space="0" w:color="auto"/>
            </w:tcBorders>
            <w:noWrap/>
            <w:vAlign w:val="center"/>
            <w:hideMark/>
          </w:tcPr>
          <w:p w14:paraId="11BC8830" w14:textId="77777777" w:rsidR="00396E1E" w:rsidRPr="007F24B9" w:rsidRDefault="00396E1E" w:rsidP="003518AB">
            <w:pPr>
              <w:rPr>
                <w:rFonts w:ascii="Times New Roman" w:eastAsia="Times New Roman" w:hAnsi="Times New Roman"/>
                <w:b/>
                <w:bCs/>
                <w:sz w:val="23"/>
                <w:szCs w:val="23"/>
                <w:lang w:eastAsia="ko-KR"/>
              </w:rPr>
            </w:pPr>
            <w:r w:rsidRPr="007F24B9">
              <w:rPr>
                <w:rFonts w:ascii="Times New Roman" w:eastAsia="Times New Roman" w:hAnsi="Times New Roman"/>
                <w:b/>
                <w:bCs/>
                <w:sz w:val="23"/>
                <w:szCs w:val="23"/>
                <w:lang w:eastAsia="ko-KR"/>
              </w:rPr>
              <w:t>Variable</w:t>
            </w:r>
          </w:p>
        </w:tc>
        <w:tc>
          <w:tcPr>
            <w:tcW w:w="2520" w:type="dxa"/>
            <w:tcBorders>
              <w:top w:val="single" w:sz="18" w:space="0" w:color="auto"/>
              <w:bottom w:val="single" w:sz="4" w:space="0" w:color="auto"/>
            </w:tcBorders>
            <w:noWrap/>
            <w:vAlign w:val="center"/>
            <w:hideMark/>
          </w:tcPr>
          <w:p w14:paraId="08C149B2" w14:textId="06692155" w:rsidR="00396E1E" w:rsidRPr="007F24B9" w:rsidRDefault="00396E1E" w:rsidP="003518AB">
            <w:pPr>
              <w:jc w:val="center"/>
              <w:rPr>
                <w:rFonts w:ascii="Times New Roman" w:eastAsiaTheme="minorEastAsia" w:hAnsi="Times New Roman"/>
                <w:b/>
                <w:bCs/>
                <w:color w:val="000000"/>
                <w:sz w:val="23"/>
                <w:szCs w:val="23"/>
                <w:lang w:eastAsia="ko-KR"/>
              </w:rPr>
            </w:pPr>
            <w:r w:rsidRPr="007F24B9">
              <w:rPr>
                <w:rFonts w:ascii="Times New Roman" w:eastAsia="Times New Roman" w:hAnsi="Times New Roman"/>
                <w:b/>
                <w:bCs/>
                <w:color w:val="000000"/>
                <w:sz w:val="23"/>
                <w:szCs w:val="23"/>
                <w:lang w:eastAsia="ko-KR"/>
              </w:rPr>
              <w:t>% in Sample</w:t>
            </w:r>
          </w:p>
        </w:tc>
        <w:tc>
          <w:tcPr>
            <w:tcW w:w="2700" w:type="dxa"/>
            <w:tcBorders>
              <w:top w:val="single" w:sz="18" w:space="0" w:color="auto"/>
              <w:bottom w:val="single" w:sz="4" w:space="0" w:color="auto"/>
              <w:right w:val="single" w:sz="18" w:space="0" w:color="auto"/>
            </w:tcBorders>
            <w:noWrap/>
            <w:vAlign w:val="center"/>
            <w:hideMark/>
          </w:tcPr>
          <w:p w14:paraId="7A34E43D" w14:textId="77777777" w:rsidR="00396E1E" w:rsidRPr="007F24B9" w:rsidRDefault="00396E1E" w:rsidP="003518AB">
            <w:pPr>
              <w:jc w:val="center"/>
              <w:rPr>
                <w:rFonts w:ascii="Times New Roman" w:eastAsia="Times New Roman" w:hAnsi="Times New Roman"/>
                <w:b/>
                <w:bCs/>
                <w:color w:val="000000"/>
                <w:sz w:val="23"/>
                <w:szCs w:val="23"/>
                <w:lang w:eastAsia="ko-KR"/>
              </w:rPr>
            </w:pPr>
            <w:r w:rsidRPr="007F24B9">
              <w:rPr>
                <w:rFonts w:ascii="Times New Roman" w:eastAsia="Times New Roman" w:hAnsi="Times New Roman"/>
                <w:b/>
                <w:bCs/>
                <w:color w:val="000000" w:themeColor="text1"/>
                <w:sz w:val="23"/>
                <w:szCs w:val="23"/>
                <w:lang w:eastAsia="ko-KR"/>
              </w:rPr>
              <w:t>% in Benchmark (2021)</w:t>
            </w:r>
          </w:p>
        </w:tc>
      </w:tr>
      <w:tr w:rsidR="00396E1E" w:rsidRPr="007F24B9" w14:paraId="5CE004EF" w14:textId="77777777" w:rsidTr="007F24B9">
        <w:trPr>
          <w:trHeight w:val="289"/>
        </w:trPr>
        <w:tc>
          <w:tcPr>
            <w:tcW w:w="4117" w:type="dxa"/>
            <w:tcBorders>
              <w:top w:val="single" w:sz="4" w:space="0" w:color="auto"/>
              <w:left w:val="single" w:sz="18" w:space="0" w:color="auto"/>
              <w:bottom w:val="dashSmallGap" w:sz="4" w:space="0" w:color="auto"/>
              <w:right w:val="dashSmallGap" w:sz="4" w:space="0" w:color="auto"/>
            </w:tcBorders>
            <w:noWrap/>
            <w:vAlign w:val="center"/>
          </w:tcPr>
          <w:p w14:paraId="5517139A" w14:textId="77777777" w:rsidR="00396E1E" w:rsidRPr="007F24B9" w:rsidRDefault="00396E1E" w:rsidP="003518AB">
            <w:pPr>
              <w:rPr>
                <w:rFonts w:ascii="Times New Roman" w:eastAsia="Times New Roman" w:hAnsi="Times New Roman"/>
                <w:b/>
                <w:bCs/>
                <w:color w:val="000000"/>
                <w:sz w:val="23"/>
                <w:szCs w:val="23"/>
                <w:lang w:eastAsia="ko-KR"/>
              </w:rPr>
            </w:pPr>
            <w:r w:rsidRPr="007F24B9">
              <w:rPr>
                <w:rFonts w:ascii="Times New Roman" w:eastAsia="Times New Roman" w:hAnsi="Times New Roman"/>
                <w:b/>
                <w:bCs/>
                <w:color w:val="000000"/>
                <w:sz w:val="23"/>
                <w:szCs w:val="23"/>
                <w:lang w:eastAsia="ko-KR"/>
              </w:rPr>
              <w:t>Age</w:t>
            </w:r>
          </w:p>
        </w:tc>
        <w:tc>
          <w:tcPr>
            <w:tcW w:w="2520" w:type="dxa"/>
            <w:tcBorders>
              <w:top w:val="single" w:sz="4" w:space="0" w:color="auto"/>
              <w:left w:val="dashSmallGap" w:sz="4" w:space="0" w:color="auto"/>
              <w:bottom w:val="dashSmallGap" w:sz="4" w:space="0" w:color="auto"/>
              <w:right w:val="dashSmallGap" w:sz="4" w:space="0" w:color="auto"/>
            </w:tcBorders>
            <w:noWrap/>
            <w:vAlign w:val="center"/>
          </w:tcPr>
          <w:p w14:paraId="7157D29C" w14:textId="77777777" w:rsidR="00396E1E" w:rsidRPr="007F24B9" w:rsidRDefault="00396E1E" w:rsidP="003518AB">
            <w:pPr>
              <w:jc w:val="right"/>
              <w:rPr>
                <w:rFonts w:ascii="Times New Roman" w:eastAsia="Times New Roman" w:hAnsi="Times New Roman"/>
                <w:color w:val="000000"/>
                <w:sz w:val="23"/>
                <w:szCs w:val="23"/>
                <w:lang w:eastAsia="ko-KR"/>
              </w:rPr>
            </w:pPr>
          </w:p>
        </w:tc>
        <w:tc>
          <w:tcPr>
            <w:tcW w:w="2700" w:type="dxa"/>
            <w:tcBorders>
              <w:top w:val="single" w:sz="4" w:space="0" w:color="auto"/>
              <w:left w:val="dashSmallGap" w:sz="4" w:space="0" w:color="auto"/>
              <w:bottom w:val="dashSmallGap" w:sz="4" w:space="0" w:color="auto"/>
              <w:right w:val="single" w:sz="18" w:space="0" w:color="auto"/>
            </w:tcBorders>
            <w:noWrap/>
            <w:vAlign w:val="center"/>
          </w:tcPr>
          <w:p w14:paraId="51379871" w14:textId="77777777" w:rsidR="00396E1E" w:rsidRPr="007F24B9" w:rsidRDefault="00396E1E" w:rsidP="003518AB">
            <w:pPr>
              <w:jc w:val="right"/>
              <w:rPr>
                <w:rFonts w:ascii="Times New Roman" w:eastAsia="Times New Roman" w:hAnsi="Times New Roman"/>
                <w:color w:val="000000"/>
                <w:sz w:val="23"/>
                <w:szCs w:val="23"/>
                <w:lang w:eastAsia="ko-KR"/>
              </w:rPr>
            </w:pPr>
          </w:p>
        </w:tc>
      </w:tr>
      <w:tr w:rsidR="00396E1E" w:rsidRPr="007F24B9" w14:paraId="67FE32C4" w14:textId="77777777" w:rsidTr="007F24B9">
        <w:trPr>
          <w:trHeight w:val="289"/>
        </w:trPr>
        <w:tc>
          <w:tcPr>
            <w:tcW w:w="4117" w:type="dxa"/>
            <w:tcBorders>
              <w:top w:val="dashSmallGap" w:sz="4" w:space="0" w:color="auto"/>
              <w:left w:val="single" w:sz="18" w:space="0" w:color="auto"/>
              <w:bottom w:val="dashSmallGap" w:sz="4" w:space="0" w:color="auto"/>
              <w:right w:val="dashSmallGap" w:sz="4" w:space="0" w:color="auto"/>
            </w:tcBorders>
            <w:noWrap/>
            <w:vAlign w:val="center"/>
            <w:hideMark/>
          </w:tcPr>
          <w:p w14:paraId="192A3585" w14:textId="77777777" w:rsidR="00396E1E" w:rsidRPr="007F24B9" w:rsidRDefault="00396E1E" w:rsidP="003518AB">
            <w:pPr>
              <w:ind w:left="240"/>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50-64</w:t>
            </w:r>
          </w:p>
        </w:tc>
        <w:tc>
          <w:tcPr>
            <w:tcW w:w="2520" w:type="dxa"/>
            <w:tcBorders>
              <w:top w:val="dashSmallGap" w:sz="4" w:space="0" w:color="auto"/>
              <w:left w:val="dashSmallGap" w:sz="4" w:space="0" w:color="auto"/>
              <w:bottom w:val="dashSmallGap" w:sz="4" w:space="0" w:color="auto"/>
              <w:right w:val="dashSmallGap" w:sz="4" w:space="0" w:color="auto"/>
            </w:tcBorders>
            <w:noWrap/>
            <w:vAlign w:val="center"/>
          </w:tcPr>
          <w:p w14:paraId="0353E9FD" w14:textId="77777777" w:rsidR="00396E1E" w:rsidRPr="007F24B9" w:rsidRDefault="00396E1E" w:rsidP="003518AB">
            <w:pPr>
              <w:ind w:right="164"/>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43.4</w:t>
            </w:r>
          </w:p>
        </w:tc>
        <w:tc>
          <w:tcPr>
            <w:tcW w:w="2700" w:type="dxa"/>
            <w:tcBorders>
              <w:top w:val="dashSmallGap" w:sz="4" w:space="0" w:color="auto"/>
              <w:left w:val="dashSmallGap" w:sz="4" w:space="0" w:color="auto"/>
              <w:bottom w:val="dashSmallGap" w:sz="4" w:space="0" w:color="auto"/>
              <w:right w:val="single" w:sz="18" w:space="0" w:color="auto"/>
            </w:tcBorders>
            <w:noWrap/>
            <w:vAlign w:val="center"/>
          </w:tcPr>
          <w:p w14:paraId="45444B01" w14:textId="77777777" w:rsidR="00396E1E" w:rsidRPr="007F24B9" w:rsidRDefault="00396E1E" w:rsidP="003518AB">
            <w:pPr>
              <w:ind w:right="60"/>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52.1</w:t>
            </w:r>
          </w:p>
        </w:tc>
      </w:tr>
      <w:tr w:rsidR="00396E1E" w:rsidRPr="007F24B9" w14:paraId="5B0C5B25" w14:textId="77777777" w:rsidTr="007F24B9">
        <w:trPr>
          <w:trHeight w:val="289"/>
        </w:trPr>
        <w:tc>
          <w:tcPr>
            <w:tcW w:w="4117" w:type="dxa"/>
            <w:tcBorders>
              <w:top w:val="dashSmallGap" w:sz="4" w:space="0" w:color="auto"/>
              <w:left w:val="single" w:sz="18" w:space="0" w:color="auto"/>
              <w:bottom w:val="single" w:sz="4" w:space="0" w:color="auto"/>
              <w:right w:val="dashSmallGap" w:sz="4" w:space="0" w:color="auto"/>
            </w:tcBorders>
            <w:noWrap/>
            <w:vAlign w:val="center"/>
            <w:hideMark/>
          </w:tcPr>
          <w:p w14:paraId="1DEE6C09" w14:textId="77777777" w:rsidR="00396E1E" w:rsidRPr="007F24B9" w:rsidRDefault="00396E1E" w:rsidP="003518AB">
            <w:pPr>
              <w:ind w:left="240"/>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65 and above</w:t>
            </w:r>
          </w:p>
        </w:tc>
        <w:tc>
          <w:tcPr>
            <w:tcW w:w="2520" w:type="dxa"/>
            <w:tcBorders>
              <w:top w:val="dashSmallGap" w:sz="4" w:space="0" w:color="auto"/>
              <w:left w:val="dashSmallGap" w:sz="4" w:space="0" w:color="auto"/>
              <w:bottom w:val="single" w:sz="4" w:space="0" w:color="auto"/>
              <w:right w:val="dashSmallGap" w:sz="4" w:space="0" w:color="auto"/>
            </w:tcBorders>
            <w:noWrap/>
            <w:vAlign w:val="center"/>
          </w:tcPr>
          <w:p w14:paraId="5EB35F26" w14:textId="77777777" w:rsidR="00396E1E" w:rsidRPr="007F24B9" w:rsidRDefault="00396E1E" w:rsidP="003518AB">
            <w:pPr>
              <w:ind w:right="164"/>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56.6</w:t>
            </w:r>
          </w:p>
        </w:tc>
        <w:tc>
          <w:tcPr>
            <w:tcW w:w="2700" w:type="dxa"/>
            <w:tcBorders>
              <w:top w:val="dashSmallGap" w:sz="4" w:space="0" w:color="auto"/>
              <w:left w:val="dashSmallGap" w:sz="4" w:space="0" w:color="auto"/>
              <w:bottom w:val="single" w:sz="4" w:space="0" w:color="auto"/>
              <w:right w:val="single" w:sz="18" w:space="0" w:color="auto"/>
            </w:tcBorders>
            <w:noWrap/>
            <w:vAlign w:val="center"/>
          </w:tcPr>
          <w:p w14:paraId="22561264" w14:textId="77777777" w:rsidR="00396E1E" w:rsidRPr="007F24B9" w:rsidRDefault="00396E1E" w:rsidP="003518AB">
            <w:pPr>
              <w:ind w:right="60"/>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47.9</w:t>
            </w:r>
          </w:p>
        </w:tc>
      </w:tr>
      <w:tr w:rsidR="00396E1E" w:rsidRPr="007F24B9" w14:paraId="56E7C114" w14:textId="77777777" w:rsidTr="007F24B9">
        <w:trPr>
          <w:trHeight w:val="289"/>
        </w:trPr>
        <w:tc>
          <w:tcPr>
            <w:tcW w:w="4117" w:type="dxa"/>
            <w:tcBorders>
              <w:top w:val="single" w:sz="4" w:space="0" w:color="auto"/>
              <w:left w:val="single" w:sz="18" w:space="0" w:color="auto"/>
              <w:bottom w:val="dashSmallGap" w:sz="4" w:space="0" w:color="auto"/>
              <w:right w:val="dashSmallGap" w:sz="4" w:space="0" w:color="auto"/>
            </w:tcBorders>
            <w:noWrap/>
            <w:vAlign w:val="center"/>
          </w:tcPr>
          <w:p w14:paraId="04118BF6" w14:textId="77777777" w:rsidR="00396E1E" w:rsidRPr="007F24B9" w:rsidRDefault="00396E1E" w:rsidP="003518AB">
            <w:pPr>
              <w:rPr>
                <w:rFonts w:ascii="Times New Roman" w:eastAsia="Times New Roman" w:hAnsi="Times New Roman"/>
                <w:b/>
                <w:bCs/>
                <w:color w:val="000000"/>
                <w:sz w:val="23"/>
                <w:szCs w:val="23"/>
                <w:lang w:eastAsia="ko-KR"/>
              </w:rPr>
            </w:pPr>
            <w:r w:rsidRPr="007F24B9">
              <w:rPr>
                <w:rFonts w:ascii="Times New Roman" w:eastAsia="Times New Roman" w:hAnsi="Times New Roman"/>
                <w:b/>
                <w:bCs/>
                <w:color w:val="000000"/>
                <w:sz w:val="23"/>
                <w:szCs w:val="23"/>
                <w:lang w:eastAsia="ko-KR"/>
              </w:rPr>
              <w:t>Gender</w:t>
            </w:r>
          </w:p>
        </w:tc>
        <w:tc>
          <w:tcPr>
            <w:tcW w:w="2520" w:type="dxa"/>
            <w:tcBorders>
              <w:top w:val="single" w:sz="4" w:space="0" w:color="auto"/>
              <w:left w:val="dashSmallGap" w:sz="4" w:space="0" w:color="auto"/>
              <w:bottom w:val="dashSmallGap" w:sz="4" w:space="0" w:color="auto"/>
              <w:right w:val="dashSmallGap" w:sz="4" w:space="0" w:color="auto"/>
            </w:tcBorders>
            <w:noWrap/>
            <w:vAlign w:val="center"/>
          </w:tcPr>
          <w:p w14:paraId="303316F6" w14:textId="77777777" w:rsidR="00396E1E" w:rsidRPr="007F24B9" w:rsidRDefault="00396E1E" w:rsidP="003518AB">
            <w:pPr>
              <w:ind w:right="164"/>
              <w:jc w:val="right"/>
              <w:rPr>
                <w:rFonts w:ascii="Times New Roman" w:eastAsia="Times New Roman" w:hAnsi="Times New Roman"/>
                <w:color w:val="000000"/>
                <w:sz w:val="23"/>
                <w:szCs w:val="23"/>
                <w:lang w:eastAsia="ko-KR"/>
              </w:rPr>
            </w:pPr>
          </w:p>
        </w:tc>
        <w:tc>
          <w:tcPr>
            <w:tcW w:w="2700" w:type="dxa"/>
            <w:tcBorders>
              <w:top w:val="single" w:sz="4" w:space="0" w:color="auto"/>
              <w:left w:val="dashSmallGap" w:sz="4" w:space="0" w:color="auto"/>
              <w:bottom w:val="dashSmallGap" w:sz="4" w:space="0" w:color="auto"/>
              <w:right w:val="single" w:sz="18" w:space="0" w:color="auto"/>
            </w:tcBorders>
            <w:noWrap/>
            <w:vAlign w:val="center"/>
          </w:tcPr>
          <w:p w14:paraId="3304B6DB" w14:textId="77777777" w:rsidR="00396E1E" w:rsidRPr="007F24B9" w:rsidRDefault="00396E1E" w:rsidP="003518AB">
            <w:pPr>
              <w:ind w:right="60"/>
              <w:jc w:val="right"/>
              <w:rPr>
                <w:rFonts w:ascii="Times New Roman" w:eastAsia="Times New Roman" w:hAnsi="Times New Roman"/>
                <w:color w:val="000000"/>
                <w:sz w:val="23"/>
                <w:szCs w:val="23"/>
                <w:lang w:eastAsia="ko-KR"/>
              </w:rPr>
            </w:pPr>
          </w:p>
        </w:tc>
      </w:tr>
      <w:tr w:rsidR="00396E1E" w:rsidRPr="007F24B9" w14:paraId="659A6303" w14:textId="77777777" w:rsidTr="007F24B9">
        <w:trPr>
          <w:trHeight w:val="289"/>
        </w:trPr>
        <w:tc>
          <w:tcPr>
            <w:tcW w:w="4117" w:type="dxa"/>
            <w:tcBorders>
              <w:top w:val="dashSmallGap" w:sz="4" w:space="0" w:color="auto"/>
              <w:left w:val="single" w:sz="18" w:space="0" w:color="auto"/>
              <w:bottom w:val="dashSmallGap" w:sz="4" w:space="0" w:color="auto"/>
              <w:right w:val="dashSmallGap" w:sz="4" w:space="0" w:color="auto"/>
            </w:tcBorders>
            <w:noWrap/>
            <w:vAlign w:val="center"/>
            <w:hideMark/>
          </w:tcPr>
          <w:p w14:paraId="13E70E16" w14:textId="49AC5085" w:rsidR="00396E1E" w:rsidRPr="007F24B9" w:rsidRDefault="00DC71ED" w:rsidP="003518AB">
            <w:pPr>
              <w:ind w:left="240"/>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Women</w:t>
            </w:r>
          </w:p>
        </w:tc>
        <w:tc>
          <w:tcPr>
            <w:tcW w:w="2520" w:type="dxa"/>
            <w:tcBorders>
              <w:top w:val="dashSmallGap" w:sz="4" w:space="0" w:color="auto"/>
              <w:left w:val="dashSmallGap" w:sz="4" w:space="0" w:color="auto"/>
              <w:bottom w:val="dashSmallGap" w:sz="4" w:space="0" w:color="auto"/>
              <w:right w:val="dashSmallGap" w:sz="4" w:space="0" w:color="auto"/>
            </w:tcBorders>
            <w:noWrap/>
            <w:vAlign w:val="center"/>
          </w:tcPr>
          <w:p w14:paraId="22141219" w14:textId="77777777" w:rsidR="00396E1E" w:rsidRPr="007F24B9" w:rsidRDefault="00396E1E" w:rsidP="003518AB">
            <w:pPr>
              <w:ind w:right="164"/>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47.9</w:t>
            </w:r>
          </w:p>
        </w:tc>
        <w:tc>
          <w:tcPr>
            <w:tcW w:w="2700" w:type="dxa"/>
            <w:tcBorders>
              <w:top w:val="dashSmallGap" w:sz="4" w:space="0" w:color="auto"/>
              <w:left w:val="dashSmallGap" w:sz="4" w:space="0" w:color="auto"/>
              <w:bottom w:val="dashSmallGap" w:sz="4" w:space="0" w:color="auto"/>
              <w:right w:val="single" w:sz="18" w:space="0" w:color="auto"/>
            </w:tcBorders>
            <w:noWrap/>
            <w:vAlign w:val="center"/>
          </w:tcPr>
          <w:p w14:paraId="77071415" w14:textId="77777777" w:rsidR="00396E1E" w:rsidRPr="007F24B9" w:rsidRDefault="00396E1E" w:rsidP="003518AB">
            <w:pPr>
              <w:ind w:right="60"/>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52.8</w:t>
            </w:r>
          </w:p>
        </w:tc>
      </w:tr>
      <w:tr w:rsidR="00396E1E" w:rsidRPr="007F24B9" w14:paraId="75F299C1" w14:textId="77777777" w:rsidTr="007F24B9">
        <w:trPr>
          <w:trHeight w:val="289"/>
        </w:trPr>
        <w:tc>
          <w:tcPr>
            <w:tcW w:w="4117" w:type="dxa"/>
            <w:tcBorders>
              <w:top w:val="dashSmallGap" w:sz="4" w:space="0" w:color="auto"/>
              <w:left w:val="single" w:sz="18" w:space="0" w:color="auto"/>
              <w:bottom w:val="single" w:sz="4" w:space="0" w:color="auto"/>
              <w:right w:val="dashSmallGap" w:sz="4" w:space="0" w:color="auto"/>
            </w:tcBorders>
            <w:noWrap/>
            <w:vAlign w:val="center"/>
            <w:hideMark/>
          </w:tcPr>
          <w:p w14:paraId="6ED54DD1" w14:textId="7569E1C0" w:rsidR="00396E1E" w:rsidRPr="007F24B9" w:rsidRDefault="00396E1E" w:rsidP="003518AB">
            <w:pPr>
              <w:ind w:left="240"/>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M</w:t>
            </w:r>
            <w:r w:rsidR="00DC71ED" w:rsidRPr="007F24B9">
              <w:rPr>
                <w:rFonts w:ascii="Times New Roman" w:eastAsia="Times New Roman" w:hAnsi="Times New Roman"/>
                <w:color w:val="000000"/>
                <w:sz w:val="23"/>
                <w:szCs w:val="23"/>
                <w:lang w:eastAsia="ko-KR"/>
              </w:rPr>
              <w:t>en</w:t>
            </w:r>
          </w:p>
        </w:tc>
        <w:tc>
          <w:tcPr>
            <w:tcW w:w="2520" w:type="dxa"/>
            <w:tcBorders>
              <w:top w:val="dashSmallGap" w:sz="4" w:space="0" w:color="auto"/>
              <w:left w:val="dashSmallGap" w:sz="4" w:space="0" w:color="auto"/>
              <w:bottom w:val="single" w:sz="4" w:space="0" w:color="auto"/>
              <w:right w:val="dashSmallGap" w:sz="4" w:space="0" w:color="auto"/>
            </w:tcBorders>
            <w:noWrap/>
            <w:vAlign w:val="center"/>
          </w:tcPr>
          <w:p w14:paraId="08174211" w14:textId="77777777" w:rsidR="00396E1E" w:rsidRPr="007F24B9" w:rsidRDefault="00396E1E" w:rsidP="003518AB">
            <w:pPr>
              <w:ind w:right="164"/>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52.1</w:t>
            </w:r>
          </w:p>
        </w:tc>
        <w:tc>
          <w:tcPr>
            <w:tcW w:w="2700" w:type="dxa"/>
            <w:tcBorders>
              <w:top w:val="dashSmallGap" w:sz="4" w:space="0" w:color="auto"/>
              <w:left w:val="dashSmallGap" w:sz="4" w:space="0" w:color="auto"/>
              <w:bottom w:val="single" w:sz="4" w:space="0" w:color="auto"/>
              <w:right w:val="single" w:sz="18" w:space="0" w:color="auto"/>
            </w:tcBorders>
            <w:noWrap/>
            <w:vAlign w:val="center"/>
          </w:tcPr>
          <w:p w14:paraId="7F4E3274" w14:textId="77777777" w:rsidR="00396E1E" w:rsidRPr="007F24B9" w:rsidRDefault="00396E1E" w:rsidP="003518AB">
            <w:pPr>
              <w:ind w:right="60"/>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47.2</w:t>
            </w:r>
          </w:p>
        </w:tc>
      </w:tr>
      <w:tr w:rsidR="00396E1E" w:rsidRPr="007F24B9" w14:paraId="1028CBC3" w14:textId="77777777" w:rsidTr="007F24B9">
        <w:trPr>
          <w:trHeight w:val="289"/>
        </w:trPr>
        <w:tc>
          <w:tcPr>
            <w:tcW w:w="4117" w:type="dxa"/>
            <w:tcBorders>
              <w:top w:val="single" w:sz="4" w:space="0" w:color="auto"/>
              <w:left w:val="single" w:sz="18" w:space="0" w:color="auto"/>
              <w:bottom w:val="dashSmallGap" w:sz="4" w:space="0" w:color="auto"/>
              <w:right w:val="dashSmallGap" w:sz="4" w:space="0" w:color="auto"/>
            </w:tcBorders>
            <w:noWrap/>
            <w:vAlign w:val="center"/>
          </w:tcPr>
          <w:p w14:paraId="770166A3" w14:textId="77777777" w:rsidR="00396E1E" w:rsidRPr="007F24B9" w:rsidRDefault="00396E1E" w:rsidP="003518AB">
            <w:pPr>
              <w:rPr>
                <w:rFonts w:ascii="Times New Roman" w:eastAsia="Times New Roman" w:hAnsi="Times New Roman"/>
                <w:b/>
                <w:bCs/>
                <w:color w:val="000000"/>
                <w:sz w:val="23"/>
                <w:szCs w:val="23"/>
                <w:lang w:eastAsia="ko-KR"/>
              </w:rPr>
            </w:pPr>
            <w:r w:rsidRPr="007F24B9">
              <w:rPr>
                <w:rFonts w:ascii="Times New Roman" w:eastAsia="Times New Roman" w:hAnsi="Times New Roman"/>
                <w:b/>
                <w:bCs/>
                <w:color w:val="000000"/>
                <w:sz w:val="23"/>
                <w:szCs w:val="23"/>
                <w:lang w:eastAsia="ko-KR"/>
              </w:rPr>
              <w:t>Education</w:t>
            </w:r>
          </w:p>
        </w:tc>
        <w:tc>
          <w:tcPr>
            <w:tcW w:w="2520" w:type="dxa"/>
            <w:tcBorders>
              <w:top w:val="single" w:sz="4" w:space="0" w:color="auto"/>
              <w:left w:val="dashSmallGap" w:sz="4" w:space="0" w:color="auto"/>
              <w:bottom w:val="dashSmallGap" w:sz="4" w:space="0" w:color="auto"/>
              <w:right w:val="dashSmallGap" w:sz="4" w:space="0" w:color="auto"/>
            </w:tcBorders>
            <w:noWrap/>
            <w:vAlign w:val="center"/>
          </w:tcPr>
          <w:p w14:paraId="0BCB8037" w14:textId="77777777" w:rsidR="00396E1E" w:rsidRPr="007F24B9" w:rsidRDefault="00396E1E" w:rsidP="003518AB">
            <w:pPr>
              <w:ind w:right="164"/>
              <w:jc w:val="right"/>
              <w:rPr>
                <w:rFonts w:ascii="Times New Roman" w:eastAsia="Times New Roman" w:hAnsi="Times New Roman"/>
                <w:color w:val="000000"/>
                <w:sz w:val="23"/>
                <w:szCs w:val="23"/>
                <w:lang w:eastAsia="ko-KR"/>
              </w:rPr>
            </w:pPr>
          </w:p>
        </w:tc>
        <w:tc>
          <w:tcPr>
            <w:tcW w:w="2700" w:type="dxa"/>
            <w:tcBorders>
              <w:top w:val="single" w:sz="4" w:space="0" w:color="auto"/>
              <w:left w:val="dashSmallGap" w:sz="4" w:space="0" w:color="auto"/>
              <w:bottom w:val="dashSmallGap" w:sz="4" w:space="0" w:color="auto"/>
              <w:right w:val="single" w:sz="18" w:space="0" w:color="auto"/>
            </w:tcBorders>
            <w:noWrap/>
            <w:vAlign w:val="center"/>
          </w:tcPr>
          <w:p w14:paraId="19028158" w14:textId="77777777" w:rsidR="00396E1E" w:rsidRPr="007F24B9" w:rsidRDefault="00396E1E" w:rsidP="003518AB">
            <w:pPr>
              <w:ind w:right="60"/>
              <w:jc w:val="right"/>
              <w:rPr>
                <w:rFonts w:ascii="Times New Roman" w:eastAsia="Times New Roman" w:hAnsi="Times New Roman"/>
                <w:color w:val="000000"/>
                <w:sz w:val="23"/>
                <w:szCs w:val="23"/>
                <w:lang w:eastAsia="ko-KR"/>
              </w:rPr>
            </w:pPr>
          </w:p>
        </w:tc>
      </w:tr>
      <w:tr w:rsidR="00396E1E" w:rsidRPr="007F24B9" w14:paraId="17265290" w14:textId="77777777" w:rsidTr="007F24B9">
        <w:trPr>
          <w:trHeight w:val="289"/>
        </w:trPr>
        <w:tc>
          <w:tcPr>
            <w:tcW w:w="4117" w:type="dxa"/>
            <w:tcBorders>
              <w:top w:val="dashSmallGap" w:sz="4" w:space="0" w:color="auto"/>
              <w:left w:val="single" w:sz="18" w:space="0" w:color="auto"/>
              <w:bottom w:val="dashSmallGap" w:sz="4" w:space="0" w:color="auto"/>
              <w:right w:val="dashSmallGap" w:sz="4" w:space="0" w:color="auto"/>
            </w:tcBorders>
            <w:noWrap/>
            <w:vAlign w:val="center"/>
            <w:hideMark/>
          </w:tcPr>
          <w:p w14:paraId="081DB390" w14:textId="77777777" w:rsidR="00396E1E" w:rsidRPr="007F24B9" w:rsidRDefault="00396E1E" w:rsidP="003518AB">
            <w:pPr>
              <w:ind w:left="240"/>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High school or less</w:t>
            </w:r>
          </w:p>
        </w:tc>
        <w:tc>
          <w:tcPr>
            <w:tcW w:w="2520" w:type="dxa"/>
            <w:tcBorders>
              <w:top w:val="dashSmallGap" w:sz="4" w:space="0" w:color="auto"/>
              <w:left w:val="dashSmallGap" w:sz="4" w:space="0" w:color="auto"/>
              <w:bottom w:val="dashSmallGap" w:sz="4" w:space="0" w:color="auto"/>
              <w:right w:val="dashSmallGap" w:sz="4" w:space="0" w:color="auto"/>
            </w:tcBorders>
            <w:noWrap/>
            <w:vAlign w:val="center"/>
          </w:tcPr>
          <w:p w14:paraId="767E45DE" w14:textId="77777777" w:rsidR="00396E1E" w:rsidRPr="007F24B9" w:rsidRDefault="00396E1E" w:rsidP="003518AB">
            <w:pPr>
              <w:ind w:right="164"/>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23.2</w:t>
            </w:r>
          </w:p>
        </w:tc>
        <w:tc>
          <w:tcPr>
            <w:tcW w:w="2700" w:type="dxa"/>
            <w:tcBorders>
              <w:top w:val="dashSmallGap" w:sz="4" w:space="0" w:color="auto"/>
              <w:left w:val="dashSmallGap" w:sz="4" w:space="0" w:color="auto"/>
              <w:bottom w:val="dashSmallGap" w:sz="4" w:space="0" w:color="auto"/>
              <w:right w:val="single" w:sz="18" w:space="0" w:color="auto"/>
            </w:tcBorders>
            <w:noWrap/>
            <w:vAlign w:val="center"/>
          </w:tcPr>
          <w:p w14:paraId="654B5C71" w14:textId="77777777" w:rsidR="00396E1E" w:rsidRPr="007F24B9" w:rsidRDefault="00396E1E" w:rsidP="003518AB">
            <w:pPr>
              <w:ind w:right="60"/>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40.8</w:t>
            </w:r>
          </w:p>
        </w:tc>
      </w:tr>
      <w:tr w:rsidR="00396E1E" w:rsidRPr="007F24B9" w14:paraId="151A5EF7" w14:textId="77777777" w:rsidTr="007F24B9">
        <w:trPr>
          <w:trHeight w:val="289"/>
        </w:trPr>
        <w:tc>
          <w:tcPr>
            <w:tcW w:w="4117" w:type="dxa"/>
            <w:tcBorders>
              <w:top w:val="dashSmallGap" w:sz="4" w:space="0" w:color="auto"/>
              <w:left w:val="single" w:sz="18" w:space="0" w:color="auto"/>
              <w:bottom w:val="dashSmallGap" w:sz="4" w:space="0" w:color="auto"/>
              <w:right w:val="dashSmallGap" w:sz="4" w:space="0" w:color="auto"/>
            </w:tcBorders>
            <w:noWrap/>
            <w:vAlign w:val="center"/>
            <w:hideMark/>
          </w:tcPr>
          <w:p w14:paraId="343A2D4A" w14:textId="77777777" w:rsidR="00396E1E" w:rsidRPr="007F24B9" w:rsidRDefault="00396E1E" w:rsidP="003518AB">
            <w:pPr>
              <w:ind w:left="240"/>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Some college or Bachelor</w:t>
            </w:r>
          </w:p>
        </w:tc>
        <w:tc>
          <w:tcPr>
            <w:tcW w:w="2520" w:type="dxa"/>
            <w:tcBorders>
              <w:top w:val="dashSmallGap" w:sz="4" w:space="0" w:color="auto"/>
              <w:left w:val="dashSmallGap" w:sz="4" w:space="0" w:color="auto"/>
              <w:bottom w:val="dashSmallGap" w:sz="4" w:space="0" w:color="auto"/>
              <w:right w:val="dashSmallGap" w:sz="4" w:space="0" w:color="auto"/>
            </w:tcBorders>
            <w:noWrap/>
            <w:vAlign w:val="center"/>
          </w:tcPr>
          <w:p w14:paraId="36E83498" w14:textId="77777777" w:rsidR="00396E1E" w:rsidRPr="007F24B9" w:rsidRDefault="00396E1E" w:rsidP="003518AB">
            <w:pPr>
              <w:ind w:right="164"/>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62.2</w:t>
            </w:r>
          </w:p>
        </w:tc>
        <w:tc>
          <w:tcPr>
            <w:tcW w:w="2700" w:type="dxa"/>
            <w:tcBorders>
              <w:top w:val="dashSmallGap" w:sz="4" w:space="0" w:color="auto"/>
              <w:left w:val="dashSmallGap" w:sz="4" w:space="0" w:color="auto"/>
              <w:bottom w:val="dashSmallGap" w:sz="4" w:space="0" w:color="auto"/>
              <w:right w:val="single" w:sz="18" w:space="0" w:color="auto"/>
            </w:tcBorders>
            <w:noWrap/>
            <w:vAlign w:val="center"/>
          </w:tcPr>
          <w:p w14:paraId="0536745A" w14:textId="77777777" w:rsidR="00396E1E" w:rsidRPr="007F24B9" w:rsidRDefault="00396E1E" w:rsidP="003518AB">
            <w:pPr>
              <w:ind w:right="60"/>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44.9</w:t>
            </w:r>
          </w:p>
        </w:tc>
      </w:tr>
      <w:tr w:rsidR="00396E1E" w:rsidRPr="007F24B9" w14:paraId="68A9DFC1" w14:textId="77777777" w:rsidTr="007F24B9">
        <w:trPr>
          <w:trHeight w:val="289"/>
        </w:trPr>
        <w:tc>
          <w:tcPr>
            <w:tcW w:w="4117" w:type="dxa"/>
            <w:tcBorders>
              <w:top w:val="dashSmallGap" w:sz="4" w:space="0" w:color="auto"/>
              <w:left w:val="single" w:sz="18" w:space="0" w:color="auto"/>
              <w:bottom w:val="single" w:sz="4" w:space="0" w:color="auto"/>
              <w:right w:val="dashSmallGap" w:sz="4" w:space="0" w:color="auto"/>
            </w:tcBorders>
            <w:noWrap/>
            <w:vAlign w:val="center"/>
            <w:hideMark/>
          </w:tcPr>
          <w:p w14:paraId="2FB9DB09" w14:textId="77777777" w:rsidR="00396E1E" w:rsidRPr="007F24B9" w:rsidRDefault="00396E1E" w:rsidP="003518AB">
            <w:pPr>
              <w:ind w:left="240"/>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Some graduate degree</w:t>
            </w:r>
          </w:p>
        </w:tc>
        <w:tc>
          <w:tcPr>
            <w:tcW w:w="2520" w:type="dxa"/>
            <w:tcBorders>
              <w:top w:val="dashSmallGap" w:sz="4" w:space="0" w:color="auto"/>
              <w:left w:val="dashSmallGap" w:sz="4" w:space="0" w:color="auto"/>
              <w:bottom w:val="single" w:sz="4" w:space="0" w:color="auto"/>
              <w:right w:val="dashSmallGap" w:sz="4" w:space="0" w:color="auto"/>
            </w:tcBorders>
            <w:noWrap/>
            <w:vAlign w:val="center"/>
          </w:tcPr>
          <w:p w14:paraId="0814AFAE" w14:textId="77777777" w:rsidR="00396E1E" w:rsidRPr="007F24B9" w:rsidRDefault="00396E1E" w:rsidP="003518AB">
            <w:pPr>
              <w:ind w:right="164"/>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14.6</w:t>
            </w:r>
          </w:p>
        </w:tc>
        <w:tc>
          <w:tcPr>
            <w:tcW w:w="2700" w:type="dxa"/>
            <w:tcBorders>
              <w:top w:val="dashSmallGap" w:sz="4" w:space="0" w:color="auto"/>
              <w:left w:val="dashSmallGap" w:sz="4" w:space="0" w:color="auto"/>
              <w:bottom w:val="single" w:sz="4" w:space="0" w:color="auto"/>
              <w:right w:val="single" w:sz="18" w:space="0" w:color="auto"/>
            </w:tcBorders>
            <w:noWrap/>
            <w:vAlign w:val="center"/>
          </w:tcPr>
          <w:p w14:paraId="1CA45DA9" w14:textId="77777777" w:rsidR="00396E1E" w:rsidRPr="007F24B9" w:rsidRDefault="00396E1E" w:rsidP="003518AB">
            <w:pPr>
              <w:ind w:right="60"/>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14.3</w:t>
            </w:r>
          </w:p>
        </w:tc>
      </w:tr>
      <w:tr w:rsidR="00396E1E" w:rsidRPr="007F24B9" w14:paraId="362C16FC" w14:textId="77777777" w:rsidTr="007F24B9">
        <w:trPr>
          <w:trHeight w:val="289"/>
        </w:trPr>
        <w:tc>
          <w:tcPr>
            <w:tcW w:w="4117" w:type="dxa"/>
            <w:tcBorders>
              <w:top w:val="single" w:sz="4" w:space="0" w:color="auto"/>
              <w:left w:val="single" w:sz="18" w:space="0" w:color="auto"/>
              <w:bottom w:val="dashSmallGap" w:sz="4" w:space="0" w:color="auto"/>
              <w:right w:val="dashSmallGap" w:sz="4" w:space="0" w:color="auto"/>
            </w:tcBorders>
            <w:noWrap/>
            <w:vAlign w:val="center"/>
          </w:tcPr>
          <w:p w14:paraId="57F9D444" w14:textId="77777777" w:rsidR="00396E1E" w:rsidRPr="007F24B9" w:rsidRDefault="00396E1E" w:rsidP="003518AB">
            <w:pPr>
              <w:rPr>
                <w:rFonts w:ascii="Times New Roman" w:eastAsia="Times New Roman" w:hAnsi="Times New Roman"/>
                <w:b/>
                <w:bCs/>
                <w:color w:val="000000"/>
                <w:sz w:val="23"/>
                <w:szCs w:val="23"/>
                <w:lang w:eastAsia="ko-KR"/>
              </w:rPr>
            </w:pPr>
            <w:r w:rsidRPr="007F24B9">
              <w:rPr>
                <w:rFonts w:ascii="Times New Roman" w:eastAsia="Times New Roman" w:hAnsi="Times New Roman"/>
                <w:b/>
                <w:bCs/>
                <w:color w:val="000000"/>
                <w:sz w:val="23"/>
                <w:szCs w:val="23"/>
                <w:lang w:eastAsia="ko-KR"/>
              </w:rPr>
              <w:t>Employment status</w:t>
            </w:r>
          </w:p>
        </w:tc>
        <w:tc>
          <w:tcPr>
            <w:tcW w:w="2520" w:type="dxa"/>
            <w:tcBorders>
              <w:top w:val="single" w:sz="4" w:space="0" w:color="auto"/>
              <w:left w:val="dashSmallGap" w:sz="4" w:space="0" w:color="auto"/>
              <w:bottom w:val="dashSmallGap" w:sz="4" w:space="0" w:color="auto"/>
              <w:right w:val="dashSmallGap" w:sz="4" w:space="0" w:color="auto"/>
            </w:tcBorders>
            <w:noWrap/>
            <w:vAlign w:val="center"/>
          </w:tcPr>
          <w:p w14:paraId="265116C9" w14:textId="77777777" w:rsidR="00396E1E" w:rsidRPr="007F24B9" w:rsidRDefault="00396E1E" w:rsidP="003518AB">
            <w:pPr>
              <w:ind w:right="164"/>
              <w:jc w:val="right"/>
              <w:rPr>
                <w:rFonts w:ascii="Times New Roman" w:eastAsia="Times New Roman" w:hAnsi="Times New Roman"/>
                <w:color w:val="000000"/>
                <w:sz w:val="23"/>
                <w:szCs w:val="23"/>
                <w:lang w:eastAsia="ko-KR"/>
              </w:rPr>
            </w:pPr>
          </w:p>
        </w:tc>
        <w:tc>
          <w:tcPr>
            <w:tcW w:w="2700" w:type="dxa"/>
            <w:tcBorders>
              <w:top w:val="single" w:sz="4" w:space="0" w:color="auto"/>
              <w:left w:val="dashSmallGap" w:sz="4" w:space="0" w:color="auto"/>
              <w:bottom w:val="dashSmallGap" w:sz="4" w:space="0" w:color="auto"/>
              <w:right w:val="single" w:sz="18" w:space="0" w:color="auto"/>
            </w:tcBorders>
            <w:noWrap/>
            <w:vAlign w:val="center"/>
          </w:tcPr>
          <w:p w14:paraId="0FE3EDF2" w14:textId="77777777" w:rsidR="00396E1E" w:rsidRPr="007F24B9" w:rsidRDefault="00396E1E" w:rsidP="003518AB">
            <w:pPr>
              <w:ind w:right="60"/>
              <w:jc w:val="right"/>
              <w:rPr>
                <w:rFonts w:ascii="Times New Roman" w:eastAsia="Times New Roman" w:hAnsi="Times New Roman"/>
                <w:color w:val="000000"/>
                <w:sz w:val="23"/>
                <w:szCs w:val="23"/>
                <w:lang w:eastAsia="ko-KR"/>
              </w:rPr>
            </w:pPr>
          </w:p>
        </w:tc>
      </w:tr>
      <w:tr w:rsidR="00396E1E" w:rsidRPr="007F24B9" w14:paraId="7AAFF4CF" w14:textId="77777777" w:rsidTr="007F24B9">
        <w:trPr>
          <w:trHeight w:val="289"/>
        </w:trPr>
        <w:tc>
          <w:tcPr>
            <w:tcW w:w="4117" w:type="dxa"/>
            <w:tcBorders>
              <w:top w:val="dashSmallGap" w:sz="4" w:space="0" w:color="auto"/>
              <w:left w:val="single" w:sz="18" w:space="0" w:color="auto"/>
              <w:bottom w:val="dashSmallGap" w:sz="4" w:space="0" w:color="auto"/>
              <w:right w:val="dashSmallGap" w:sz="4" w:space="0" w:color="auto"/>
            </w:tcBorders>
            <w:noWrap/>
            <w:vAlign w:val="center"/>
            <w:hideMark/>
          </w:tcPr>
          <w:p w14:paraId="547A929E" w14:textId="77777777" w:rsidR="00396E1E" w:rsidRPr="007F24B9" w:rsidRDefault="00396E1E" w:rsidP="003518AB">
            <w:pPr>
              <w:ind w:left="240"/>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Employed</w:t>
            </w:r>
          </w:p>
        </w:tc>
        <w:tc>
          <w:tcPr>
            <w:tcW w:w="2520" w:type="dxa"/>
            <w:tcBorders>
              <w:top w:val="dashSmallGap" w:sz="4" w:space="0" w:color="auto"/>
              <w:left w:val="dashSmallGap" w:sz="4" w:space="0" w:color="auto"/>
              <w:bottom w:val="dashSmallGap" w:sz="4" w:space="0" w:color="auto"/>
              <w:right w:val="dashSmallGap" w:sz="4" w:space="0" w:color="auto"/>
            </w:tcBorders>
            <w:noWrap/>
            <w:vAlign w:val="center"/>
          </w:tcPr>
          <w:p w14:paraId="7D57A5C4" w14:textId="77777777" w:rsidR="00396E1E" w:rsidRPr="007F24B9" w:rsidRDefault="00396E1E" w:rsidP="003518AB">
            <w:pPr>
              <w:ind w:right="164"/>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48.1</w:t>
            </w:r>
          </w:p>
        </w:tc>
        <w:tc>
          <w:tcPr>
            <w:tcW w:w="2700" w:type="dxa"/>
            <w:tcBorders>
              <w:top w:val="dashSmallGap" w:sz="4" w:space="0" w:color="auto"/>
              <w:left w:val="dashSmallGap" w:sz="4" w:space="0" w:color="auto"/>
              <w:bottom w:val="dashSmallGap" w:sz="4" w:space="0" w:color="auto"/>
              <w:right w:val="single" w:sz="18" w:space="0" w:color="auto"/>
            </w:tcBorders>
            <w:noWrap/>
            <w:vAlign w:val="center"/>
          </w:tcPr>
          <w:p w14:paraId="267F3F66" w14:textId="77777777" w:rsidR="00396E1E" w:rsidRPr="007F24B9" w:rsidRDefault="00396E1E" w:rsidP="003518AB">
            <w:pPr>
              <w:ind w:right="60"/>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45.3</w:t>
            </w:r>
          </w:p>
        </w:tc>
      </w:tr>
      <w:tr w:rsidR="00396E1E" w:rsidRPr="007F24B9" w14:paraId="38D5454E" w14:textId="77777777" w:rsidTr="007F24B9">
        <w:trPr>
          <w:trHeight w:val="289"/>
        </w:trPr>
        <w:tc>
          <w:tcPr>
            <w:tcW w:w="4117" w:type="dxa"/>
            <w:tcBorders>
              <w:top w:val="dashSmallGap" w:sz="4" w:space="0" w:color="auto"/>
              <w:left w:val="single" w:sz="18" w:space="0" w:color="auto"/>
              <w:bottom w:val="single" w:sz="4" w:space="0" w:color="auto"/>
              <w:right w:val="dashSmallGap" w:sz="4" w:space="0" w:color="auto"/>
            </w:tcBorders>
            <w:noWrap/>
            <w:vAlign w:val="center"/>
            <w:hideMark/>
          </w:tcPr>
          <w:p w14:paraId="4B4F9159" w14:textId="77777777" w:rsidR="00396E1E" w:rsidRPr="007F24B9" w:rsidRDefault="00396E1E" w:rsidP="003518AB">
            <w:pPr>
              <w:ind w:left="240"/>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Retired/Not employed</w:t>
            </w:r>
          </w:p>
        </w:tc>
        <w:tc>
          <w:tcPr>
            <w:tcW w:w="2520" w:type="dxa"/>
            <w:tcBorders>
              <w:top w:val="dashSmallGap" w:sz="4" w:space="0" w:color="auto"/>
              <w:left w:val="dashSmallGap" w:sz="4" w:space="0" w:color="auto"/>
              <w:bottom w:val="single" w:sz="4" w:space="0" w:color="auto"/>
              <w:right w:val="dashSmallGap" w:sz="4" w:space="0" w:color="auto"/>
            </w:tcBorders>
            <w:noWrap/>
            <w:vAlign w:val="center"/>
          </w:tcPr>
          <w:p w14:paraId="4687EFC1" w14:textId="77777777" w:rsidR="00396E1E" w:rsidRPr="007F24B9" w:rsidRDefault="00396E1E" w:rsidP="003518AB">
            <w:pPr>
              <w:ind w:right="164"/>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51.9</w:t>
            </w:r>
          </w:p>
        </w:tc>
        <w:tc>
          <w:tcPr>
            <w:tcW w:w="2700" w:type="dxa"/>
            <w:tcBorders>
              <w:top w:val="dashSmallGap" w:sz="4" w:space="0" w:color="auto"/>
              <w:left w:val="dashSmallGap" w:sz="4" w:space="0" w:color="auto"/>
              <w:bottom w:val="single" w:sz="4" w:space="0" w:color="auto"/>
              <w:right w:val="single" w:sz="18" w:space="0" w:color="auto"/>
            </w:tcBorders>
            <w:noWrap/>
            <w:vAlign w:val="center"/>
          </w:tcPr>
          <w:p w14:paraId="68059295" w14:textId="77777777" w:rsidR="00396E1E" w:rsidRPr="007F24B9" w:rsidRDefault="00396E1E" w:rsidP="003518AB">
            <w:pPr>
              <w:ind w:right="60"/>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54.7</w:t>
            </w:r>
          </w:p>
        </w:tc>
      </w:tr>
      <w:tr w:rsidR="00396E1E" w:rsidRPr="007F24B9" w14:paraId="26C187DA" w14:textId="77777777" w:rsidTr="007F24B9">
        <w:trPr>
          <w:trHeight w:val="289"/>
        </w:trPr>
        <w:tc>
          <w:tcPr>
            <w:tcW w:w="4117" w:type="dxa"/>
            <w:tcBorders>
              <w:top w:val="single" w:sz="4" w:space="0" w:color="auto"/>
              <w:left w:val="single" w:sz="18" w:space="0" w:color="auto"/>
              <w:bottom w:val="dashSmallGap" w:sz="4" w:space="0" w:color="auto"/>
              <w:right w:val="dashSmallGap" w:sz="4" w:space="0" w:color="auto"/>
            </w:tcBorders>
            <w:noWrap/>
            <w:vAlign w:val="center"/>
          </w:tcPr>
          <w:p w14:paraId="68D09FBE" w14:textId="77777777" w:rsidR="00396E1E" w:rsidRPr="007F24B9" w:rsidRDefault="00396E1E" w:rsidP="003518AB">
            <w:pPr>
              <w:rPr>
                <w:rFonts w:ascii="Times New Roman" w:eastAsia="Times New Roman" w:hAnsi="Times New Roman"/>
                <w:color w:val="000000"/>
                <w:sz w:val="23"/>
                <w:szCs w:val="23"/>
                <w:lang w:eastAsia="ko-KR"/>
              </w:rPr>
            </w:pPr>
            <w:r w:rsidRPr="007F24B9">
              <w:rPr>
                <w:rFonts w:ascii="Times New Roman" w:eastAsia="Times New Roman" w:hAnsi="Times New Roman"/>
                <w:b/>
                <w:bCs/>
                <w:color w:val="000000"/>
                <w:sz w:val="23"/>
                <w:szCs w:val="23"/>
                <w:lang w:eastAsia="ko-KR"/>
              </w:rPr>
              <w:t>Race</w:t>
            </w:r>
          </w:p>
        </w:tc>
        <w:tc>
          <w:tcPr>
            <w:tcW w:w="2520" w:type="dxa"/>
            <w:tcBorders>
              <w:top w:val="single" w:sz="4" w:space="0" w:color="auto"/>
              <w:left w:val="dashSmallGap" w:sz="4" w:space="0" w:color="auto"/>
              <w:bottom w:val="dashSmallGap" w:sz="4" w:space="0" w:color="auto"/>
              <w:right w:val="dashSmallGap" w:sz="4" w:space="0" w:color="auto"/>
            </w:tcBorders>
            <w:noWrap/>
            <w:vAlign w:val="center"/>
          </w:tcPr>
          <w:p w14:paraId="268D3722" w14:textId="77777777" w:rsidR="00396E1E" w:rsidRPr="007F24B9" w:rsidRDefault="00396E1E" w:rsidP="003518AB">
            <w:pPr>
              <w:ind w:right="164"/>
              <w:jc w:val="right"/>
              <w:rPr>
                <w:rFonts w:ascii="Times New Roman" w:eastAsia="Times New Roman" w:hAnsi="Times New Roman"/>
                <w:color w:val="000000"/>
                <w:sz w:val="23"/>
                <w:szCs w:val="23"/>
                <w:lang w:eastAsia="ko-KR"/>
              </w:rPr>
            </w:pPr>
          </w:p>
        </w:tc>
        <w:tc>
          <w:tcPr>
            <w:tcW w:w="2700" w:type="dxa"/>
            <w:tcBorders>
              <w:top w:val="single" w:sz="4" w:space="0" w:color="auto"/>
              <w:left w:val="dashSmallGap" w:sz="4" w:space="0" w:color="auto"/>
              <w:bottom w:val="dashSmallGap" w:sz="4" w:space="0" w:color="auto"/>
              <w:right w:val="single" w:sz="18" w:space="0" w:color="auto"/>
            </w:tcBorders>
            <w:noWrap/>
            <w:vAlign w:val="center"/>
          </w:tcPr>
          <w:p w14:paraId="1288D78A" w14:textId="77777777" w:rsidR="00396E1E" w:rsidRPr="007F24B9" w:rsidRDefault="00396E1E" w:rsidP="003518AB">
            <w:pPr>
              <w:ind w:right="60"/>
              <w:jc w:val="right"/>
              <w:rPr>
                <w:rFonts w:ascii="Times New Roman" w:eastAsia="Times New Roman" w:hAnsi="Times New Roman"/>
                <w:color w:val="000000"/>
                <w:sz w:val="23"/>
                <w:szCs w:val="23"/>
                <w:lang w:eastAsia="ko-KR"/>
              </w:rPr>
            </w:pPr>
          </w:p>
        </w:tc>
      </w:tr>
      <w:tr w:rsidR="00396E1E" w:rsidRPr="007F24B9" w14:paraId="012BFF69" w14:textId="77777777" w:rsidTr="007F24B9">
        <w:trPr>
          <w:trHeight w:val="289"/>
        </w:trPr>
        <w:tc>
          <w:tcPr>
            <w:tcW w:w="4117" w:type="dxa"/>
            <w:tcBorders>
              <w:top w:val="dashSmallGap" w:sz="4" w:space="0" w:color="auto"/>
              <w:left w:val="single" w:sz="18" w:space="0" w:color="auto"/>
              <w:bottom w:val="dashSmallGap" w:sz="4" w:space="0" w:color="000000" w:themeColor="text1"/>
              <w:right w:val="dashSmallGap" w:sz="4" w:space="0" w:color="auto"/>
            </w:tcBorders>
            <w:noWrap/>
            <w:vAlign w:val="center"/>
            <w:hideMark/>
          </w:tcPr>
          <w:p w14:paraId="69856AF1" w14:textId="77777777" w:rsidR="00396E1E" w:rsidRPr="007F24B9" w:rsidRDefault="00396E1E" w:rsidP="003518AB">
            <w:pPr>
              <w:ind w:left="240"/>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White, non-Hispanic</w:t>
            </w:r>
          </w:p>
        </w:tc>
        <w:tc>
          <w:tcPr>
            <w:tcW w:w="2520" w:type="dxa"/>
            <w:tcBorders>
              <w:top w:val="dashSmallGap" w:sz="4" w:space="0" w:color="auto"/>
              <w:left w:val="dashSmallGap" w:sz="4" w:space="0" w:color="auto"/>
              <w:bottom w:val="dashSmallGap" w:sz="4" w:space="0" w:color="000000" w:themeColor="text1"/>
              <w:right w:val="dashSmallGap" w:sz="4" w:space="0" w:color="auto"/>
            </w:tcBorders>
            <w:noWrap/>
            <w:vAlign w:val="center"/>
          </w:tcPr>
          <w:p w14:paraId="3E649AF5" w14:textId="77777777" w:rsidR="00396E1E" w:rsidRPr="007F24B9" w:rsidRDefault="00396E1E" w:rsidP="003518AB">
            <w:pPr>
              <w:ind w:right="164"/>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44.8</w:t>
            </w:r>
          </w:p>
        </w:tc>
        <w:tc>
          <w:tcPr>
            <w:tcW w:w="2700" w:type="dxa"/>
            <w:tcBorders>
              <w:top w:val="dashSmallGap" w:sz="4" w:space="0" w:color="auto"/>
              <w:left w:val="dashSmallGap" w:sz="4" w:space="0" w:color="auto"/>
              <w:bottom w:val="dashSmallGap" w:sz="4" w:space="0" w:color="000000" w:themeColor="text1"/>
              <w:right w:val="single" w:sz="18" w:space="0" w:color="auto"/>
            </w:tcBorders>
            <w:noWrap/>
            <w:vAlign w:val="center"/>
          </w:tcPr>
          <w:p w14:paraId="34998910" w14:textId="77777777" w:rsidR="00396E1E" w:rsidRPr="007F24B9" w:rsidRDefault="00396E1E" w:rsidP="003518AB">
            <w:pPr>
              <w:ind w:right="60"/>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70.7</w:t>
            </w:r>
          </w:p>
        </w:tc>
      </w:tr>
      <w:tr w:rsidR="00396E1E" w:rsidRPr="007F24B9" w14:paraId="0D41A453" w14:textId="77777777" w:rsidTr="007F24B9">
        <w:trPr>
          <w:trHeight w:val="289"/>
        </w:trPr>
        <w:tc>
          <w:tcPr>
            <w:tcW w:w="4117" w:type="dxa"/>
            <w:tcBorders>
              <w:top w:val="dashSmallGap" w:sz="4" w:space="0" w:color="000000" w:themeColor="text1"/>
              <w:left w:val="single" w:sz="18" w:space="0" w:color="auto"/>
              <w:bottom w:val="dashSmallGap" w:sz="4" w:space="0" w:color="auto"/>
              <w:right w:val="dashSmallGap" w:sz="4" w:space="0" w:color="000000" w:themeColor="text1"/>
            </w:tcBorders>
            <w:noWrap/>
            <w:vAlign w:val="center"/>
            <w:hideMark/>
          </w:tcPr>
          <w:p w14:paraId="0FF21565" w14:textId="77777777" w:rsidR="00396E1E" w:rsidRPr="007F24B9" w:rsidRDefault="00396E1E" w:rsidP="003518AB">
            <w:pPr>
              <w:ind w:left="240"/>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Hispanic</w:t>
            </w:r>
          </w:p>
        </w:tc>
        <w:tc>
          <w:tcPr>
            <w:tcW w:w="2520" w:type="dxa"/>
            <w:tcBorders>
              <w:top w:val="dashSmallGap" w:sz="4" w:space="0" w:color="000000" w:themeColor="text1"/>
              <w:left w:val="dashSmallGap" w:sz="4" w:space="0" w:color="000000" w:themeColor="text1"/>
              <w:bottom w:val="dashSmallGap" w:sz="4" w:space="0" w:color="auto"/>
              <w:right w:val="dashSmallGap" w:sz="4" w:space="0" w:color="000000" w:themeColor="text1"/>
            </w:tcBorders>
            <w:noWrap/>
            <w:vAlign w:val="center"/>
          </w:tcPr>
          <w:p w14:paraId="552B8AA6" w14:textId="77777777" w:rsidR="00396E1E" w:rsidRPr="007F24B9" w:rsidRDefault="00396E1E" w:rsidP="003518AB">
            <w:pPr>
              <w:ind w:right="164"/>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22.9</w:t>
            </w:r>
          </w:p>
        </w:tc>
        <w:tc>
          <w:tcPr>
            <w:tcW w:w="2700" w:type="dxa"/>
            <w:tcBorders>
              <w:top w:val="dashSmallGap" w:sz="4" w:space="0" w:color="000000" w:themeColor="text1"/>
              <w:left w:val="dashSmallGap" w:sz="4" w:space="0" w:color="000000" w:themeColor="text1"/>
              <w:bottom w:val="dashSmallGap" w:sz="4" w:space="0" w:color="auto"/>
              <w:right w:val="single" w:sz="18" w:space="0" w:color="auto"/>
            </w:tcBorders>
            <w:noWrap/>
            <w:vAlign w:val="center"/>
          </w:tcPr>
          <w:p w14:paraId="0272E82C" w14:textId="77777777" w:rsidR="00396E1E" w:rsidRPr="007F24B9" w:rsidRDefault="00396E1E" w:rsidP="003518AB">
            <w:pPr>
              <w:ind w:right="60"/>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11.7</w:t>
            </w:r>
          </w:p>
        </w:tc>
      </w:tr>
      <w:tr w:rsidR="00396E1E" w:rsidRPr="007F24B9" w14:paraId="12F80148" w14:textId="77777777" w:rsidTr="007F24B9">
        <w:trPr>
          <w:trHeight w:val="289"/>
        </w:trPr>
        <w:tc>
          <w:tcPr>
            <w:tcW w:w="4117" w:type="dxa"/>
            <w:tcBorders>
              <w:top w:val="dashSmallGap" w:sz="4" w:space="0" w:color="auto"/>
              <w:left w:val="single" w:sz="18" w:space="0" w:color="auto"/>
              <w:bottom w:val="dashSmallGap" w:sz="4" w:space="0" w:color="auto"/>
              <w:right w:val="dashSmallGap" w:sz="4" w:space="0" w:color="000000" w:themeColor="text1"/>
            </w:tcBorders>
            <w:noWrap/>
            <w:vAlign w:val="center"/>
          </w:tcPr>
          <w:p w14:paraId="2A49AA72" w14:textId="77777777" w:rsidR="00396E1E" w:rsidRPr="007F24B9" w:rsidRDefault="00396E1E" w:rsidP="003518AB">
            <w:pPr>
              <w:ind w:left="240"/>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Black, non-Hispanic</w:t>
            </w:r>
          </w:p>
        </w:tc>
        <w:tc>
          <w:tcPr>
            <w:tcW w:w="2520" w:type="dxa"/>
            <w:tcBorders>
              <w:top w:val="dashSmallGap" w:sz="4" w:space="0" w:color="auto"/>
              <w:left w:val="dashSmallGap" w:sz="4" w:space="0" w:color="000000" w:themeColor="text1"/>
              <w:bottom w:val="dashSmallGap" w:sz="4" w:space="0" w:color="auto"/>
              <w:right w:val="dashSmallGap" w:sz="4" w:space="0" w:color="000000" w:themeColor="text1"/>
            </w:tcBorders>
            <w:noWrap/>
            <w:vAlign w:val="center"/>
          </w:tcPr>
          <w:p w14:paraId="671C9AEA" w14:textId="77777777" w:rsidR="00396E1E" w:rsidRPr="007F24B9" w:rsidRDefault="00396E1E" w:rsidP="003518AB">
            <w:pPr>
              <w:ind w:right="164"/>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21.6</w:t>
            </w:r>
          </w:p>
        </w:tc>
        <w:tc>
          <w:tcPr>
            <w:tcW w:w="2700" w:type="dxa"/>
            <w:tcBorders>
              <w:top w:val="dashSmallGap" w:sz="4" w:space="0" w:color="auto"/>
              <w:left w:val="dashSmallGap" w:sz="4" w:space="0" w:color="000000" w:themeColor="text1"/>
              <w:bottom w:val="dashSmallGap" w:sz="4" w:space="0" w:color="auto"/>
              <w:right w:val="single" w:sz="18" w:space="0" w:color="auto"/>
            </w:tcBorders>
            <w:noWrap/>
            <w:vAlign w:val="center"/>
          </w:tcPr>
          <w:p w14:paraId="4F6FE6D9" w14:textId="77777777" w:rsidR="00396E1E" w:rsidRPr="007F24B9" w:rsidRDefault="00396E1E" w:rsidP="003518AB">
            <w:pPr>
              <w:ind w:right="60"/>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10.7</w:t>
            </w:r>
          </w:p>
        </w:tc>
      </w:tr>
      <w:tr w:rsidR="00396E1E" w:rsidRPr="007F24B9" w14:paraId="073D1599" w14:textId="77777777" w:rsidTr="007F24B9">
        <w:trPr>
          <w:trHeight w:val="289"/>
        </w:trPr>
        <w:tc>
          <w:tcPr>
            <w:tcW w:w="4117" w:type="dxa"/>
            <w:tcBorders>
              <w:top w:val="dashSmallGap" w:sz="4" w:space="0" w:color="auto"/>
              <w:left w:val="single" w:sz="18" w:space="0" w:color="auto"/>
              <w:bottom w:val="dashSmallGap" w:sz="4" w:space="0" w:color="auto"/>
              <w:right w:val="dashSmallGap" w:sz="4" w:space="0" w:color="000000" w:themeColor="text1"/>
            </w:tcBorders>
            <w:noWrap/>
            <w:vAlign w:val="center"/>
          </w:tcPr>
          <w:p w14:paraId="4F55D097" w14:textId="77777777" w:rsidR="00396E1E" w:rsidRPr="007F24B9" w:rsidRDefault="00396E1E" w:rsidP="003518AB">
            <w:pPr>
              <w:ind w:left="240"/>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Asian, non-Hispanic</w:t>
            </w:r>
          </w:p>
        </w:tc>
        <w:tc>
          <w:tcPr>
            <w:tcW w:w="2520" w:type="dxa"/>
            <w:tcBorders>
              <w:top w:val="dashSmallGap" w:sz="4" w:space="0" w:color="auto"/>
              <w:left w:val="dashSmallGap" w:sz="4" w:space="0" w:color="000000" w:themeColor="text1"/>
              <w:bottom w:val="dashSmallGap" w:sz="4" w:space="0" w:color="auto"/>
              <w:right w:val="dashSmallGap" w:sz="4" w:space="0" w:color="000000" w:themeColor="text1"/>
            </w:tcBorders>
            <w:noWrap/>
            <w:vAlign w:val="center"/>
          </w:tcPr>
          <w:p w14:paraId="2A301BDB" w14:textId="77777777" w:rsidR="00396E1E" w:rsidRPr="007F24B9" w:rsidRDefault="00396E1E" w:rsidP="003518AB">
            <w:pPr>
              <w:ind w:right="164"/>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9.7</w:t>
            </w:r>
          </w:p>
        </w:tc>
        <w:tc>
          <w:tcPr>
            <w:tcW w:w="2700" w:type="dxa"/>
            <w:tcBorders>
              <w:top w:val="dashSmallGap" w:sz="4" w:space="0" w:color="auto"/>
              <w:left w:val="dashSmallGap" w:sz="4" w:space="0" w:color="000000" w:themeColor="text1"/>
              <w:bottom w:val="dashSmallGap" w:sz="4" w:space="0" w:color="auto"/>
              <w:right w:val="single" w:sz="18" w:space="0" w:color="auto"/>
            </w:tcBorders>
            <w:noWrap/>
            <w:vAlign w:val="center"/>
          </w:tcPr>
          <w:p w14:paraId="12A962B9" w14:textId="77777777" w:rsidR="00396E1E" w:rsidRPr="007F24B9" w:rsidRDefault="00396E1E" w:rsidP="003518AB">
            <w:pPr>
              <w:ind w:right="60"/>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5.4</w:t>
            </w:r>
          </w:p>
        </w:tc>
      </w:tr>
      <w:tr w:rsidR="00396E1E" w:rsidRPr="007F24B9" w14:paraId="533E9700" w14:textId="77777777" w:rsidTr="007F24B9">
        <w:trPr>
          <w:trHeight w:val="289"/>
        </w:trPr>
        <w:tc>
          <w:tcPr>
            <w:tcW w:w="4117" w:type="dxa"/>
            <w:tcBorders>
              <w:top w:val="dashSmallGap" w:sz="4" w:space="0" w:color="auto"/>
              <w:left w:val="single" w:sz="18" w:space="0" w:color="auto"/>
              <w:bottom w:val="single" w:sz="4" w:space="0" w:color="000000" w:themeColor="text1"/>
              <w:right w:val="dashSmallGap" w:sz="4" w:space="0" w:color="000000" w:themeColor="text1"/>
            </w:tcBorders>
            <w:noWrap/>
            <w:vAlign w:val="center"/>
          </w:tcPr>
          <w:p w14:paraId="4D723F82" w14:textId="77777777" w:rsidR="00396E1E" w:rsidRPr="007F24B9" w:rsidRDefault="00396E1E" w:rsidP="003518AB">
            <w:pPr>
              <w:ind w:left="240"/>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Others</w:t>
            </w:r>
          </w:p>
        </w:tc>
        <w:tc>
          <w:tcPr>
            <w:tcW w:w="2520" w:type="dxa"/>
            <w:tcBorders>
              <w:top w:val="dashSmallGap" w:sz="4" w:space="0" w:color="auto"/>
              <w:left w:val="dashSmallGap" w:sz="4" w:space="0" w:color="000000" w:themeColor="text1"/>
              <w:bottom w:val="single" w:sz="4" w:space="0" w:color="000000" w:themeColor="text1"/>
              <w:right w:val="dashSmallGap" w:sz="4" w:space="0" w:color="000000" w:themeColor="text1"/>
            </w:tcBorders>
            <w:noWrap/>
            <w:vAlign w:val="center"/>
          </w:tcPr>
          <w:p w14:paraId="32FB4F85" w14:textId="77777777" w:rsidR="00396E1E" w:rsidRPr="007F24B9" w:rsidRDefault="00396E1E" w:rsidP="003518AB">
            <w:pPr>
              <w:ind w:right="164"/>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1.0</w:t>
            </w:r>
          </w:p>
        </w:tc>
        <w:tc>
          <w:tcPr>
            <w:tcW w:w="2700" w:type="dxa"/>
            <w:tcBorders>
              <w:top w:val="dashSmallGap" w:sz="4" w:space="0" w:color="auto"/>
              <w:left w:val="dashSmallGap" w:sz="4" w:space="0" w:color="000000" w:themeColor="text1"/>
              <w:bottom w:val="single" w:sz="4" w:space="0" w:color="000000" w:themeColor="text1"/>
              <w:right w:val="single" w:sz="18" w:space="0" w:color="auto"/>
            </w:tcBorders>
            <w:noWrap/>
            <w:vAlign w:val="center"/>
          </w:tcPr>
          <w:p w14:paraId="6E266D5E" w14:textId="77777777" w:rsidR="00396E1E" w:rsidRPr="007F24B9" w:rsidRDefault="00396E1E" w:rsidP="003518AB">
            <w:pPr>
              <w:ind w:right="60"/>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1.5</w:t>
            </w:r>
          </w:p>
        </w:tc>
      </w:tr>
      <w:tr w:rsidR="00396E1E" w:rsidRPr="007F24B9" w14:paraId="73B5E2A7" w14:textId="77777777" w:rsidTr="007F24B9">
        <w:trPr>
          <w:trHeight w:val="289"/>
        </w:trPr>
        <w:tc>
          <w:tcPr>
            <w:tcW w:w="4117" w:type="dxa"/>
            <w:tcBorders>
              <w:top w:val="single" w:sz="4" w:space="0" w:color="000000" w:themeColor="text1"/>
              <w:left w:val="single" w:sz="18" w:space="0" w:color="auto"/>
              <w:bottom w:val="dashSmallGap" w:sz="4" w:space="0" w:color="auto"/>
              <w:right w:val="dashSmallGap" w:sz="4" w:space="0" w:color="auto"/>
            </w:tcBorders>
            <w:noWrap/>
            <w:vAlign w:val="center"/>
          </w:tcPr>
          <w:p w14:paraId="2333AB8D" w14:textId="77777777" w:rsidR="00396E1E" w:rsidRPr="007F24B9" w:rsidRDefault="00396E1E" w:rsidP="003518AB">
            <w:pPr>
              <w:rPr>
                <w:rFonts w:ascii="Times New Roman" w:eastAsia="Times New Roman" w:hAnsi="Times New Roman"/>
                <w:color w:val="000000"/>
                <w:sz w:val="23"/>
                <w:szCs w:val="23"/>
                <w:lang w:eastAsia="ko-KR"/>
              </w:rPr>
            </w:pPr>
            <w:r w:rsidRPr="007F24B9">
              <w:rPr>
                <w:rFonts w:ascii="Times New Roman" w:eastAsia="Times New Roman" w:hAnsi="Times New Roman"/>
                <w:b/>
                <w:bCs/>
                <w:color w:val="000000"/>
                <w:sz w:val="23"/>
                <w:szCs w:val="23"/>
                <w:lang w:eastAsia="ko-KR"/>
              </w:rPr>
              <w:t>Household Income</w:t>
            </w:r>
          </w:p>
        </w:tc>
        <w:tc>
          <w:tcPr>
            <w:tcW w:w="2520" w:type="dxa"/>
            <w:tcBorders>
              <w:top w:val="single" w:sz="4" w:space="0" w:color="000000" w:themeColor="text1"/>
              <w:left w:val="dashSmallGap" w:sz="4" w:space="0" w:color="auto"/>
              <w:bottom w:val="dashSmallGap" w:sz="4" w:space="0" w:color="auto"/>
              <w:right w:val="dashSmallGap" w:sz="4" w:space="0" w:color="auto"/>
            </w:tcBorders>
            <w:noWrap/>
            <w:vAlign w:val="center"/>
          </w:tcPr>
          <w:p w14:paraId="1048FDD1" w14:textId="77777777" w:rsidR="00396E1E" w:rsidRPr="007F24B9" w:rsidRDefault="00396E1E" w:rsidP="003518AB">
            <w:pPr>
              <w:ind w:right="164"/>
              <w:jc w:val="right"/>
              <w:rPr>
                <w:rFonts w:ascii="Times New Roman" w:eastAsia="Times New Roman" w:hAnsi="Times New Roman"/>
                <w:color w:val="000000"/>
                <w:sz w:val="23"/>
                <w:szCs w:val="23"/>
                <w:lang w:eastAsia="ko-KR"/>
              </w:rPr>
            </w:pPr>
          </w:p>
        </w:tc>
        <w:tc>
          <w:tcPr>
            <w:tcW w:w="2700" w:type="dxa"/>
            <w:tcBorders>
              <w:top w:val="single" w:sz="4" w:space="0" w:color="000000" w:themeColor="text1"/>
              <w:left w:val="dashSmallGap" w:sz="4" w:space="0" w:color="auto"/>
              <w:bottom w:val="dashSmallGap" w:sz="4" w:space="0" w:color="auto"/>
              <w:right w:val="single" w:sz="18" w:space="0" w:color="auto"/>
            </w:tcBorders>
            <w:noWrap/>
            <w:vAlign w:val="center"/>
          </w:tcPr>
          <w:p w14:paraId="5B3DFA3D" w14:textId="77777777" w:rsidR="00396E1E" w:rsidRPr="007F24B9" w:rsidDel="00474B6C" w:rsidRDefault="00396E1E" w:rsidP="003518AB">
            <w:pPr>
              <w:ind w:right="60"/>
              <w:jc w:val="right"/>
              <w:rPr>
                <w:rFonts w:ascii="Times New Roman" w:eastAsia="Times New Roman" w:hAnsi="Times New Roman"/>
                <w:color w:val="000000"/>
                <w:sz w:val="23"/>
                <w:szCs w:val="23"/>
                <w:lang w:eastAsia="ko-KR"/>
              </w:rPr>
            </w:pPr>
          </w:p>
        </w:tc>
      </w:tr>
      <w:tr w:rsidR="00396E1E" w:rsidRPr="007F24B9" w14:paraId="1F2B0379" w14:textId="77777777" w:rsidTr="007F24B9">
        <w:trPr>
          <w:trHeight w:val="289"/>
        </w:trPr>
        <w:tc>
          <w:tcPr>
            <w:tcW w:w="4117" w:type="dxa"/>
            <w:tcBorders>
              <w:top w:val="dashSmallGap" w:sz="4" w:space="0" w:color="auto"/>
              <w:left w:val="single" w:sz="18" w:space="0" w:color="auto"/>
              <w:bottom w:val="dashSmallGap" w:sz="4" w:space="0" w:color="auto"/>
              <w:right w:val="dashSmallGap" w:sz="4" w:space="0" w:color="auto"/>
            </w:tcBorders>
            <w:noWrap/>
            <w:vAlign w:val="center"/>
            <w:hideMark/>
          </w:tcPr>
          <w:p w14:paraId="23C52179" w14:textId="77777777" w:rsidR="00396E1E" w:rsidRPr="007F24B9" w:rsidRDefault="00396E1E" w:rsidP="003518AB">
            <w:pPr>
              <w:ind w:left="240"/>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Less than $50,000</w:t>
            </w:r>
          </w:p>
        </w:tc>
        <w:tc>
          <w:tcPr>
            <w:tcW w:w="2520" w:type="dxa"/>
            <w:tcBorders>
              <w:top w:val="dashSmallGap" w:sz="4" w:space="0" w:color="auto"/>
              <w:left w:val="dashSmallGap" w:sz="4" w:space="0" w:color="auto"/>
              <w:bottom w:val="dashSmallGap" w:sz="4" w:space="0" w:color="auto"/>
              <w:right w:val="dashSmallGap" w:sz="4" w:space="0" w:color="auto"/>
            </w:tcBorders>
            <w:noWrap/>
            <w:vAlign w:val="center"/>
          </w:tcPr>
          <w:p w14:paraId="5CA1DBB9" w14:textId="77777777" w:rsidR="00396E1E" w:rsidRPr="007F24B9" w:rsidRDefault="00396E1E" w:rsidP="003518AB">
            <w:pPr>
              <w:ind w:right="164"/>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19.1</w:t>
            </w:r>
          </w:p>
        </w:tc>
        <w:tc>
          <w:tcPr>
            <w:tcW w:w="2700" w:type="dxa"/>
            <w:tcBorders>
              <w:top w:val="dashSmallGap" w:sz="4" w:space="0" w:color="auto"/>
              <w:left w:val="dashSmallGap" w:sz="4" w:space="0" w:color="auto"/>
              <w:bottom w:val="dashSmallGap" w:sz="4" w:space="0" w:color="auto"/>
              <w:right w:val="single" w:sz="18" w:space="0" w:color="auto"/>
            </w:tcBorders>
            <w:noWrap/>
            <w:vAlign w:val="center"/>
          </w:tcPr>
          <w:p w14:paraId="48772DF6" w14:textId="77777777" w:rsidR="00396E1E" w:rsidRPr="007F24B9" w:rsidRDefault="00396E1E" w:rsidP="003518AB">
            <w:pPr>
              <w:ind w:right="60"/>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35.7</w:t>
            </w:r>
          </w:p>
        </w:tc>
      </w:tr>
      <w:tr w:rsidR="00396E1E" w:rsidRPr="007F24B9" w14:paraId="1852D864" w14:textId="77777777" w:rsidTr="007F24B9">
        <w:trPr>
          <w:trHeight w:val="289"/>
        </w:trPr>
        <w:tc>
          <w:tcPr>
            <w:tcW w:w="4117" w:type="dxa"/>
            <w:tcBorders>
              <w:top w:val="dashSmallGap" w:sz="4" w:space="0" w:color="auto"/>
              <w:left w:val="single" w:sz="18" w:space="0" w:color="auto"/>
              <w:bottom w:val="dashSmallGap" w:sz="4" w:space="0" w:color="auto"/>
              <w:right w:val="dashSmallGap" w:sz="4" w:space="0" w:color="auto"/>
            </w:tcBorders>
            <w:noWrap/>
            <w:vAlign w:val="center"/>
            <w:hideMark/>
          </w:tcPr>
          <w:p w14:paraId="5030E8E9" w14:textId="77777777" w:rsidR="00396E1E" w:rsidRPr="007F24B9" w:rsidRDefault="00396E1E" w:rsidP="003518AB">
            <w:pPr>
              <w:ind w:left="240"/>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$50,000 - $99,999</w:t>
            </w:r>
          </w:p>
        </w:tc>
        <w:tc>
          <w:tcPr>
            <w:tcW w:w="2520" w:type="dxa"/>
            <w:tcBorders>
              <w:top w:val="dashSmallGap" w:sz="4" w:space="0" w:color="auto"/>
              <w:left w:val="dashSmallGap" w:sz="4" w:space="0" w:color="auto"/>
              <w:bottom w:val="dashSmallGap" w:sz="4" w:space="0" w:color="auto"/>
              <w:right w:val="dashSmallGap" w:sz="4" w:space="0" w:color="auto"/>
            </w:tcBorders>
            <w:noWrap/>
            <w:vAlign w:val="center"/>
          </w:tcPr>
          <w:p w14:paraId="7F641612" w14:textId="77777777" w:rsidR="00396E1E" w:rsidRPr="007F24B9" w:rsidRDefault="00396E1E" w:rsidP="003518AB">
            <w:pPr>
              <w:ind w:right="164"/>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46.4</w:t>
            </w:r>
          </w:p>
        </w:tc>
        <w:tc>
          <w:tcPr>
            <w:tcW w:w="2700" w:type="dxa"/>
            <w:tcBorders>
              <w:top w:val="dashSmallGap" w:sz="4" w:space="0" w:color="auto"/>
              <w:left w:val="dashSmallGap" w:sz="4" w:space="0" w:color="auto"/>
              <w:bottom w:val="dashSmallGap" w:sz="4" w:space="0" w:color="auto"/>
              <w:right w:val="single" w:sz="18" w:space="0" w:color="auto"/>
            </w:tcBorders>
            <w:noWrap/>
            <w:vAlign w:val="center"/>
          </w:tcPr>
          <w:p w14:paraId="3DAFB22A" w14:textId="77777777" w:rsidR="00396E1E" w:rsidRPr="007F24B9" w:rsidRDefault="00396E1E" w:rsidP="003518AB">
            <w:pPr>
              <w:ind w:right="60"/>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27.9</w:t>
            </w:r>
          </w:p>
        </w:tc>
      </w:tr>
      <w:tr w:rsidR="00396E1E" w:rsidRPr="007F24B9" w14:paraId="4ACAC2DD" w14:textId="77777777" w:rsidTr="007F24B9">
        <w:trPr>
          <w:trHeight w:val="289"/>
        </w:trPr>
        <w:tc>
          <w:tcPr>
            <w:tcW w:w="4117" w:type="dxa"/>
            <w:tcBorders>
              <w:top w:val="dashSmallGap" w:sz="4" w:space="0" w:color="auto"/>
              <w:left w:val="single" w:sz="18" w:space="0" w:color="auto"/>
              <w:bottom w:val="single" w:sz="4" w:space="0" w:color="auto"/>
              <w:right w:val="dashSmallGap" w:sz="4" w:space="0" w:color="auto"/>
            </w:tcBorders>
            <w:noWrap/>
            <w:vAlign w:val="center"/>
            <w:hideMark/>
          </w:tcPr>
          <w:p w14:paraId="3D4433B8" w14:textId="77777777" w:rsidR="00396E1E" w:rsidRPr="007F24B9" w:rsidRDefault="00396E1E" w:rsidP="003518AB">
            <w:pPr>
              <w:ind w:left="240"/>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More than $100,000</w:t>
            </w:r>
          </w:p>
        </w:tc>
        <w:tc>
          <w:tcPr>
            <w:tcW w:w="2520" w:type="dxa"/>
            <w:tcBorders>
              <w:top w:val="dashSmallGap" w:sz="4" w:space="0" w:color="auto"/>
              <w:left w:val="dashSmallGap" w:sz="4" w:space="0" w:color="auto"/>
              <w:bottom w:val="single" w:sz="4" w:space="0" w:color="auto"/>
              <w:right w:val="dashSmallGap" w:sz="4" w:space="0" w:color="auto"/>
            </w:tcBorders>
            <w:noWrap/>
            <w:vAlign w:val="center"/>
          </w:tcPr>
          <w:p w14:paraId="7C80E6F1" w14:textId="77777777" w:rsidR="00396E1E" w:rsidRPr="007F24B9" w:rsidRDefault="00396E1E" w:rsidP="003518AB">
            <w:pPr>
              <w:ind w:right="164"/>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34.5</w:t>
            </w:r>
          </w:p>
        </w:tc>
        <w:tc>
          <w:tcPr>
            <w:tcW w:w="2700" w:type="dxa"/>
            <w:tcBorders>
              <w:top w:val="dashSmallGap" w:sz="4" w:space="0" w:color="auto"/>
              <w:left w:val="dashSmallGap" w:sz="4" w:space="0" w:color="auto"/>
              <w:bottom w:val="single" w:sz="4" w:space="0" w:color="auto"/>
              <w:right w:val="single" w:sz="18" w:space="0" w:color="auto"/>
            </w:tcBorders>
            <w:noWrap/>
            <w:vAlign w:val="center"/>
          </w:tcPr>
          <w:p w14:paraId="7828A83A" w14:textId="77777777" w:rsidR="00396E1E" w:rsidRPr="007F24B9" w:rsidRDefault="00396E1E" w:rsidP="003518AB">
            <w:pPr>
              <w:ind w:right="60"/>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36.4</w:t>
            </w:r>
          </w:p>
        </w:tc>
      </w:tr>
      <w:tr w:rsidR="00396E1E" w:rsidRPr="007F24B9" w14:paraId="6FD8BA5A" w14:textId="77777777" w:rsidTr="007F24B9">
        <w:trPr>
          <w:trHeight w:val="289"/>
        </w:trPr>
        <w:tc>
          <w:tcPr>
            <w:tcW w:w="4117" w:type="dxa"/>
            <w:tcBorders>
              <w:top w:val="single" w:sz="4" w:space="0" w:color="auto"/>
              <w:left w:val="single" w:sz="18" w:space="0" w:color="auto"/>
              <w:bottom w:val="dashSmallGap" w:sz="4" w:space="0" w:color="auto"/>
              <w:right w:val="dashSmallGap" w:sz="4" w:space="0" w:color="auto"/>
            </w:tcBorders>
            <w:noWrap/>
            <w:vAlign w:val="center"/>
          </w:tcPr>
          <w:p w14:paraId="5FA2739F" w14:textId="77777777" w:rsidR="00396E1E" w:rsidRPr="007F24B9" w:rsidRDefault="00396E1E" w:rsidP="003518AB">
            <w:pPr>
              <w:rPr>
                <w:rFonts w:ascii="Times New Roman" w:eastAsia="Times New Roman" w:hAnsi="Times New Roman"/>
                <w:b/>
                <w:bCs/>
                <w:color w:val="000000"/>
                <w:sz w:val="23"/>
                <w:szCs w:val="23"/>
                <w:lang w:eastAsia="ko-KR"/>
              </w:rPr>
            </w:pPr>
            <w:r w:rsidRPr="007F24B9">
              <w:rPr>
                <w:rFonts w:ascii="Times New Roman" w:eastAsia="Times New Roman" w:hAnsi="Times New Roman"/>
                <w:b/>
                <w:bCs/>
                <w:color w:val="000000"/>
                <w:sz w:val="23"/>
                <w:szCs w:val="23"/>
                <w:lang w:eastAsia="ko-KR"/>
              </w:rPr>
              <w:t>Marital status</w:t>
            </w:r>
          </w:p>
        </w:tc>
        <w:tc>
          <w:tcPr>
            <w:tcW w:w="2520" w:type="dxa"/>
            <w:tcBorders>
              <w:top w:val="single" w:sz="4" w:space="0" w:color="auto"/>
              <w:left w:val="dashSmallGap" w:sz="4" w:space="0" w:color="auto"/>
              <w:bottom w:val="dashSmallGap" w:sz="4" w:space="0" w:color="auto"/>
              <w:right w:val="dashSmallGap" w:sz="4" w:space="0" w:color="auto"/>
            </w:tcBorders>
            <w:noWrap/>
            <w:vAlign w:val="center"/>
          </w:tcPr>
          <w:p w14:paraId="763A84B5" w14:textId="77777777" w:rsidR="00396E1E" w:rsidRPr="007F24B9" w:rsidRDefault="00396E1E" w:rsidP="003518AB">
            <w:pPr>
              <w:ind w:right="164"/>
              <w:jc w:val="right"/>
              <w:rPr>
                <w:rFonts w:ascii="Times New Roman" w:eastAsia="Times New Roman" w:hAnsi="Times New Roman"/>
                <w:color w:val="000000"/>
                <w:sz w:val="23"/>
                <w:szCs w:val="23"/>
                <w:lang w:eastAsia="ko-KR"/>
              </w:rPr>
            </w:pPr>
          </w:p>
        </w:tc>
        <w:tc>
          <w:tcPr>
            <w:tcW w:w="2700" w:type="dxa"/>
            <w:tcBorders>
              <w:top w:val="single" w:sz="4" w:space="0" w:color="auto"/>
              <w:left w:val="dashSmallGap" w:sz="4" w:space="0" w:color="auto"/>
              <w:bottom w:val="dashSmallGap" w:sz="4" w:space="0" w:color="auto"/>
              <w:right w:val="single" w:sz="18" w:space="0" w:color="auto"/>
            </w:tcBorders>
            <w:noWrap/>
            <w:vAlign w:val="center"/>
          </w:tcPr>
          <w:p w14:paraId="3E020DD0" w14:textId="77777777" w:rsidR="00396E1E" w:rsidRPr="007F24B9" w:rsidRDefault="00396E1E" w:rsidP="003518AB">
            <w:pPr>
              <w:ind w:right="60"/>
              <w:jc w:val="right"/>
              <w:rPr>
                <w:rFonts w:ascii="Times New Roman" w:eastAsia="Times New Roman" w:hAnsi="Times New Roman"/>
                <w:color w:val="000000"/>
                <w:sz w:val="23"/>
                <w:szCs w:val="23"/>
                <w:lang w:eastAsia="ko-KR"/>
              </w:rPr>
            </w:pPr>
          </w:p>
        </w:tc>
      </w:tr>
      <w:tr w:rsidR="00396E1E" w:rsidRPr="007F24B9" w14:paraId="6755C402" w14:textId="77777777" w:rsidTr="007F24B9">
        <w:trPr>
          <w:trHeight w:val="289"/>
        </w:trPr>
        <w:tc>
          <w:tcPr>
            <w:tcW w:w="4117" w:type="dxa"/>
            <w:tcBorders>
              <w:top w:val="dashSmallGap" w:sz="4" w:space="0" w:color="auto"/>
              <w:left w:val="single" w:sz="18" w:space="0" w:color="auto"/>
              <w:bottom w:val="dashSmallGap" w:sz="4" w:space="0" w:color="auto"/>
              <w:right w:val="dashSmallGap" w:sz="4" w:space="0" w:color="auto"/>
            </w:tcBorders>
            <w:noWrap/>
            <w:vAlign w:val="center"/>
          </w:tcPr>
          <w:p w14:paraId="68720E12" w14:textId="77777777" w:rsidR="00396E1E" w:rsidRPr="007F24B9" w:rsidRDefault="00396E1E" w:rsidP="003518AB">
            <w:pPr>
              <w:ind w:left="240"/>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Married</w:t>
            </w:r>
          </w:p>
        </w:tc>
        <w:tc>
          <w:tcPr>
            <w:tcW w:w="2520" w:type="dxa"/>
            <w:tcBorders>
              <w:top w:val="dashSmallGap" w:sz="4" w:space="0" w:color="auto"/>
              <w:left w:val="dashSmallGap" w:sz="4" w:space="0" w:color="auto"/>
              <w:bottom w:val="dashSmallGap" w:sz="4" w:space="0" w:color="auto"/>
              <w:right w:val="dashSmallGap" w:sz="4" w:space="0" w:color="auto"/>
            </w:tcBorders>
            <w:noWrap/>
            <w:vAlign w:val="center"/>
          </w:tcPr>
          <w:p w14:paraId="7A92C0A5" w14:textId="77777777" w:rsidR="00396E1E" w:rsidRPr="007F24B9" w:rsidRDefault="00396E1E" w:rsidP="003518AB">
            <w:pPr>
              <w:ind w:right="164"/>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54.7</w:t>
            </w:r>
          </w:p>
        </w:tc>
        <w:tc>
          <w:tcPr>
            <w:tcW w:w="2700" w:type="dxa"/>
            <w:tcBorders>
              <w:top w:val="dashSmallGap" w:sz="4" w:space="0" w:color="auto"/>
              <w:left w:val="dashSmallGap" w:sz="4" w:space="0" w:color="auto"/>
              <w:bottom w:val="dashSmallGap" w:sz="4" w:space="0" w:color="auto"/>
              <w:right w:val="single" w:sz="18" w:space="0" w:color="auto"/>
            </w:tcBorders>
            <w:noWrap/>
            <w:vAlign w:val="center"/>
          </w:tcPr>
          <w:p w14:paraId="6AF580A9" w14:textId="77777777" w:rsidR="00396E1E" w:rsidRPr="007F24B9" w:rsidRDefault="00396E1E" w:rsidP="003518AB">
            <w:pPr>
              <w:ind w:right="60"/>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58.1</w:t>
            </w:r>
          </w:p>
        </w:tc>
      </w:tr>
      <w:tr w:rsidR="00396E1E" w:rsidRPr="007F24B9" w14:paraId="3DC5F10F" w14:textId="77777777" w:rsidTr="007F24B9">
        <w:trPr>
          <w:trHeight w:val="289"/>
        </w:trPr>
        <w:tc>
          <w:tcPr>
            <w:tcW w:w="4117" w:type="dxa"/>
            <w:tcBorders>
              <w:top w:val="dashSmallGap" w:sz="4" w:space="0" w:color="auto"/>
              <w:left w:val="single" w:sz="18" w:space="0" w:color="auto"/>
              <w:bottom w:val="dashSmallGap" w:sz="4" w:space="0" w:color="auto"/>
              <w:right w:val="dashSmallGap" w:sz="4" w:space="0" w:color="auto"/>
            </w:tcBorders>
            <w:noWrap/>
            <w:vAlign w:val="center"/>
          </w:tcPr>
          <w:p w14:paraId="604D813A" w14:textId="77777777" w:rsidR="00396E1E" w:rsidRPr="007F24B9" w:rsidRDefault="00396E1E" w:rsidP="003518AB">
            <w:pPr>
              <w:ind w:left="240"/>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Divorced/Separated/Widowed</w:t>
            </w:r>
          </w:p>
        </w:tc>
        <w:tc>
          <w:tcPr>
            <w:tcW w:w="2520" w:type="dxa"/>
            <w:tcBorders>
              <w:top w:val="dashSmallGap" w:sz="4" w:space="0" w:color="auto"/>
              <w:left w:val="dashSmallGap" w:sz="4" w:space="0" w:color="auto"/>
              <w:bottom w:val="dashSmallGap" w:sz="4" w:space="0" w:color="auto"/>
              <w:right w:val="dashSmallGap" w:sz="4" w:space="0" w:color="auto"/>
            </w:tcBorders>
            <w:noWrap/>
            <w:vAlign w:val="center"/>
          </w:tcPr>
          <w:p w14:paraId="18637B9E" w14:textId="77777777" w:rsidR="00396E1E" w:rsidRPr="007F24B9" w:rsidRDefault="00396E1E" w:rsidP="003518AB">
            <w:pPr>
              <w:ind w:right="164"/>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31.0</w:t>
            </w:r>
          </w:p>
        </w:tc>
        <w:tc>
          <w:tcPr>
            <w:tcW w:w="2700" w:type="dxa"/>
            <w:tcBorders>
              <w:top w:val="dashSmallGap" w:sz="4" w:space="0" w:color="auto"/>
              <w:left w:val="dashSmallGap" w:sz="4" w:space="0" w:color="auto"/>
              <w:bottom w:val="dashSmallGap" w:sz="4" w:space="0" w:color="auto"/>
              <w:right w:val="single" w:sz="18" w:space="0" w:color="auto"/>
            </w:tcBorders>
            <w:noWrap/>
            <w:vAlign w:val="center"/>
          </w:tcPr>
          <w:p w14:paraId="3B8A254E" w14:textId="77777777" w:rsidR="00396E1E" w:rsidRPr="007F24B9" w:rsidRDefault="00396E1E" w:rsidP="003518AB">
            <w:pPr>
              <w:ind w:right="60"/>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34.2</w:t>
            </w:r>
          </w:p>
        </w:tc>
      </w:tr>
      <w:tr w:rsidR="00396E1E" w:rsidRPr="007F24B9" w14:paraId="6C59A65C" w14:textId="77777777" w:rsidTr="007F24B9">
        <w:trPr>
          <w:trHeight w:val="289"/>
        </w:trPr>
        <w:tc>
          <w:tcPr>
            <w:tcW w:w="4117" w:type="dxa"/>
            <w:tcBorders>
              <w:top w:val="dashSmallGap" w:sz="4" w:space="0" w:color="auto"/>
              <w:left w:val="single" w:sz="18" w:space="0" w:color="auto"/>
              <w:bottom w:val="single" w:sz="4" w:space="0" w:color="auto"/>
              <w:right w:val="dashSmallGap" w:sz="4" w:space="0" w:color="auto"/>
            </w:tcBorders>
            <w:noWrap/>
            <w:vAlign w:val="center"/>
          </w:tcPr>
          <w:p w14:paraId="6DBDB07A" w14:textId="77777777" w:rsidR="00396E1E" w:rsidRPr="007F24B9" w:rsidRDefault="00396E1E" w:rsidP="003518AB">
            <w:pPr>
              <w:ind w:left="240"/>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Never married</w:t>
            </w:r>
          </w:p>
        </w:tc>
        <w:tc>
          <w:tcPr>
            <w:tcW w:w="2520" w:type="dxa"/>
            <w:tcBorders>
              <w:top w:val="dashSmallGap" w:sz="4" w:space="0" w:color="auto"/>
              <w:left w:val="dashSmallGap" w:sz="4" w:space="0" w:color="auto"/>
              <w:bottom w:val="single" w:sz="4" w:space="0" w:color="auto"/>
              <w:right w:val="dashSmallGap" w:sz="4" w:space="0" w:color="auto"/>
            </w:tcBorders>
            <w:noWrap/>
            <w:vAlign w:val="center"/>
          </w:tcPr>
          <w:p w14:paraId="212824F8" w14:textId="77777777" w:rsidR="00396E1E" w:rsidRPr="007F24B9" w:rsidRDefault="00396E1E" w:rsidP="003518AB">
            <w:pPr>
              <w:ind w:right="164"/>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14.3</w:t>
            </w:r>
          </w:p>
        </w:tc>
        <w:tc>
          <w:tcPr>
            <w:tcW w:w="2700" w:type="dxa"/>
            <w:tcBorders>
              <w:top w:val="dashSmallGap" w:sz="4" w:space="0" w:color="auto"/>
              <w:left w:val="dashSmallGap" w:sz="4" w:space="0" w:color="auto"/>
              <w:bottom w:val="single" w:sz="4" w:space="0" w:color="auto"/>
              <w:right w:val="single" w:sz="18" w:space="0" w:color="auto"/>
            </w:tcBorders>
            <w:noWrap/>
            <w:vAlign w:val="center"/>
          </w:tcPr>
          <w:p w14:paraId="1C1F0042" w14:textId="77777777" w:rsidR="00396E1E" w:rsidRPr="007F24B9" w:rsidRDefault="00396E1E" w:rsidP="003518AB">
            <w:pPr>
              <w:ind w:right="60"/>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7.7</w:t>
            </w:r>
          </w:p>
        </w:tc>
      </w:tr>
      <w:tr w:rsidR="00396E1E" w:rsidRPr="007F24B9" w14:paraId="3F3674B9" w14:textId="77777777" w:rsidTr="007F24B9">
        <w:trPr>
          <w:trHeight w:val="289"/>
        </w:trPr>
        <w:tc>
          <w:tcPr>
            <w:tcW w:w="4117" w:type="dxa"/>
            <w:tcBorders>
              <w:top w:val="single" w:sz="4" w:space="0" w:color="auto"/>
              <w:left w:val="single" w:sz="18" w:space="0" w:color="auto"/>
              <w:bottom w:val="dashSmallGap" w:sz="4" w:space="0" w:color="auto"/>
              <w:right w:val="dashSmallGap" w:sz="4" w:space="0" w:color="auto"/>
            </w:tcBorders>
            <w:noWrap/>
            <w:vAlign w:val="center"/>
          </w:tcPr>
          <w:p w14:paraId="46501514" w14:textId="77777777" w:rsidR="00396E1E" w:rsidRPr="007F24B9" w:rsidRDefault="00396E1E" w:rsidP="003518AB">
            <w:pPr>
              <w:rPr>
                <w:rFonts w:ascii="Times New Roman" w:eastAsia="Times New Roman" w:hAnsi="Times New Roman"/>
                <w:b/>
                <w:bCs/>
                <w:color w:val="000000"/>
                <w:sz w:val="23"/>
                <w:szCs w:val="23"/>
                <w:lang w:eastAsia="ko-KR"/>
              </w:rPr>
            </w:pPr>
            <w:r w:rsidRPr="007F24B9">
              <w:rPr>
                <w:rFonts w:ascii="Times New Roman" w:eastAsia="Times New Roman" w:hAnsi="Times New Roman"/>
                <w:b/>
                <w:bCs/>
                <w:color w:val="000000"/>
                <w:sz w:val="23"/>
                <w:szCs w:val="23"/>
                <w:lang w:eastAsia="ko-KR"/>
              </w:rPr>
              <w:t>Household composition</w:t>
            </w:r>
          </w:p>
        </w:tc>
        <w:tc>
          <w:tcPr>
            <w:tcW w:w="2520" w:type="dxa"/>
            <w:tcBorders>
              <w:top w:val="single" w:sz="4" w:space="0" w:color="auto"/>
              <w:left w:val="dashSmallGap" w:sz="4" w:space="0" w:color="auto"/>
              <w:bottom w:val="dashSmallGap" w:sz="4" w:space="0" w:color="auto"/>
              <w:right w:val="dashSmallGap" w:sz="4" w:space="0" w:color="auto"/>
            </w:tcBorders>
            <w:noWrap/>
            <w:vAlign w:val="center"/>
          </w:tcPr>
          <w:p w14:paraId="09456B46" w14:textId="77777777" w:rsidR="00396E1E" w:rsidRPr="007F24B9" w:rsidRDefault="00396E1E" w:rsidP="003518AB">
            <w:pPr>
              <w:ind w:right="164"/>
              <w:jc w:val="right"/>
              <w:rPr>
                <w:rFonts w:ascii="Times New Roman" w:eastAsia="Times New Roman" w:hAnsi="Times New Roman"/>
                <w:color w:val="000000"/>
                <w:sz w:val="23"/>
                <w:szCs w:val="23"/>
                <w:lang w:eastAsia="ko-KR"/>
              </w:rPr>
            </w:pPr>
          </w:p>
        </w:tc>
        <w:tc>
          <w:tcPr>
            <w:tcW w:w="2700" w:type="dxa"/>
            <w:tcBorders>
              <w:top w:val="single" w:sz="4" w:space="0" w:color="auto"/>
              <w:left w:val="dashSmallGap" w:sz="4" w:space="0" w:color="auto"/>
              <w:bottom w:val="dashSmallGap" w:sz="4" w:space="0" w:color="auto"/>
              <w:right w:val="single" w:sz="18" w:space="0" w:color="auto"/>
            </w:tcBorders>
            <w:noWrap/>
            <w:vAlign w:val="center"/>
          </w:tcPr>
          <w:p w14:paraId="47310916" w14:textId="77777777" w:rsidR="00396E1E" w:rsidRPr="007F24B9" w:rsidRDefault="00396E1E" w:rsidP="003518AB">
            <w:pPr>
              <w:ind w:right="60"/>
              <w:jc w:val="right"/>
              <w:rPr>
                <w:rFonts w:ascii="Times New Roman" w:eastAsia="Times New Roman" w:hAnsi="Times New Roman"/>
                <w:color w:val="000000"/>
                <w:sz w:val="23"/>
                <w:szCs w:val="23"/>
                <w:lang w:eastAsia="ko-KR"/>
              </w:rPr>
            </w:pPr>
          </w:p>
        </w:tc>
      </w:tr>
      <w:tr w:rsidR="00110614" w:rsidRPr="007F24B9" w14:paraId="4539912B" w14:textId="77777777" w:rsidTr="007F24B9">
        <w:trPr>
          <w:trHeight w:val="289"/>
        </w:trPr>
        <w:tc>
          <w:tcPr>
            <w:tcW w:w="4117" w:type="dxa"/>
            <w:tcBorders>
              <w:top w:val="dashSmallGap" w:sz="4" w:space="0" w:color="auto"/>
              <w:left w:val="single" w:sz="18" w:space="0" w:color="auto"/>
              <w:bottom w:val="single" w:sz="18" w:space="0" w:color="auto"/>
              <w:right w:val="dashSmallGap" w:sz="4" w:space="0" w:color="auto"/>
            </w:tcBorders>
            <w:noWrap/>
            <w:vAlign w:val="center"/>
          </w:tcPr>
          <w:p w14:paraId="33FA280C" w14:textId="138A7939" w:rsidR="00110614" w:rsidRPr="007F24B9" w:rsidRDefault="00110614" w:rsidP="003518AB">
            <w:pPr>
              <w:ind w:left="240"/>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No child</w:t>
            </w:r>
            <w:r w:rsidR="00FE4B07" w:rsidRPr="007F24B9">
              <w:rPr>
                <w:rFonts w:ascii="Times New Roman" w:eastAsia="Times New Roman" w:hAnsi="Times New Roman"/>
                <w:color w:val="000000"/>
                <w:sz w:val="23"/>
                <w:szCs w:val="23"/>
                <w:lang w:eastAsia="ko-KR"/>
              </w:rPr>
              <w:t xml:space="preserve"> </w:t>
            </w:r>
          </w:p>
        </w:tc>
        <w:tc>
          <w:tcPr>
            <w:tcW w:w="2520" w:type="dxa"/>
            <w:tcBorders>
              <w:top w:val="dashSmallGap" w:sz="4" w:space="0" w:color="auto"/>
              <w:left w:val="dashSmallGap" w:sz="4" w:space="0" w:color="auto"/>
              <w:bottom w:val="single" w:sz="18" w:space="0" w:color="auto"/>
              <w:right w:val="dashSmallGap" w:sz="4" w:space="0" w:color="auto"/>
            </w:tcBorders>
            <w:noWrap/>
            <w:vAlign w:val="center"/>
          </w:tcPr>
          <w:p w14:paraId="1EDF3432" w14:textId="019D889B" w:rsidR="00110614" w:rsidRPr="007F24B9" w:rsidRDefault="006C5548" w:rsidP="003518AB">
            <w:pPr>
              <w:ind w:right="164"/>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81.9</w:t>
            </w:r>
          </w:p>
        </w:tc>
        <w:tc>
          <w:tcPr>
            <w:tcW w:w="2700" w:type="dxa"/>
            <w:tcBorders>
              <w:top w:val="dashSmallGap" w:sz="4" w:space="0" w:color="auto"/>
              <w:left w:val="dashSmallGap" w:sz="4" w:space="0" w:color="auto"/>
              <w:bottom w:val="single" w:sz="18" w:space="0" w:color="auto"/>
              <w:right w:val="single" w:sz="18" w:space="0" w:color="auto"/>
            </w:tcBorders>
            <w:noWrap/>
            <w:vAlign w:val="center"/>
          </w:tcPr>
          <w:p w14:paraId="73E221DA" w14:textId="2308B594" w:rsidR="00110614" w:rsidRPr="007F24B9" w:rsidRDefault="006C5548" w:rsidP="003518AB">
            <w:pPr>
              <w:ind w:right="60"/>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86.4</w:t>
            </w:r>
          </w:p>
        </w:tc>
      </w:tr>
      <w:tr w:rsidR="00396E1E" w:rsidRPr="007F24B9" w14:paraId="48CC464D" w14:textId="77777777" w:rsidTr="007F24B9">
        <w:trPr>
          <w:trHeight w:val="289"/>
        </w:trPr>
        <w:tc>
          <w:tcPr>
            <w:tcW w:w="4117" w:type="dxa"/>
            <w:tcBorders>
              <w:top w:val="dashSmallGap" w:sz="4" w:space="0" w:color="auto"/>
              <w:left w:val="single" w:sz="18" w:space="0" w:color="auto"/>
              <w:bottom w:val="single" w:sz="18" w:space="0" w:color="auto"/>
              <w:right w:val="dashSmallGap" w:sz="4" w:space="0" w:color="auto"/>
            </w:tcBorders>
            <w:noWrap/>
            <w:vAlign w:val="center"/>
          </w:tcPr>
          <w:p w14:paraId="2728ADFB" w14:textId="299AFEDE" w:rsidR="00396E1E" w:rsidRPr="007F24B9" w:rsidRDefault="00396E1E" w:rsidP="003518AB">
            <w:pPr>
              <w:ind w:left="240"/>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Live with a child</w:t>
            </w:r>
            <w:r w:rsidR="00FE4B07" w:rsidRPr="007F24B9">
              <w:rPr>
                <w:rFonts w:ascii="Times New Roman" w:eastAsia="Times New Roman" w:hAnsi="Times New Roman"/>
                <w:color w:val="000000"/>
                <w:sz w:val="23"/>
                <w:szCs w:val="23"/>
                <w:lang w:eastAsia="ko-KR"/>
              </w:rPr>
              <w:t xml:space="preserve"> (“child” is defined as an individual less than 18 years of age)</w:t>
            </w:r>
          </w:p>
        </w:tc>
        <w:tc>
          <w:tcPr>
            <w:tcW w:w="2520" w:type="dxa"/>
            <w:tcBorders>
              <w:top w:val="dashSmallGap" w:sz="4" w:space="0" w:color="auto"/>
              <w:left w:val="dashSmallGap" w:sz="4" w:space="0" w:color="auto"/>
              <w:bottom w:val="single" w:sz="18" w:space="0" w:color="auto"/>
              <w:right w:val="dashSmallGap" w:sz="4" w:space="0" w:color="auto"/>
            </w:tcBorders>
            <w:noWrap/>
            <w:vAlign w:val="center"/>
          </w:tcPr>
          <w:p w14:paraId="5EA748AE" w14:textId="77777777" w:rsidR="00396E1E" w:rsidRPr="007F24B9" w:rsidRDefault="00396E1E" w:rsidP="003518AB">
            <w:pPr>
              <w:ind w:right="164"/>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18.1</w:t>
            </w:r>
          </w:p>
        </w:tc>
        <w:tc>
          <w:tcPr>
            <w:tcW w:w="2700" w:type="dxa"/>
            <w:tcBorders>
              <w:top w:val="dashSmallGap" w:sz="4" w:space="0" w:color="auto"/>
              <w:left w:val="dashSmallGap" w:sz="4" w:space="0" w:color="auto"/>
              <w:bottom w:val="single" w:sz="18" w:space="0" w:color="auto"/>
              <w:right w:val="single" w:sz="18" w:space="0" w:color="auto"/>
            </w:tcBorders>
            <w:noWrap/>
            <w:vAlign w:val="center"/>
          </w:tcPr>
          <w:p w14:paraId="529C1486" w14:textId="77777777" w:rsidR="00396E1E" w:rsidRPr="007F24B9" w:rsidRDefault="00396E1E" w:rsidP="003518AB">
            <w:pPr>
              <w:ind w:right="60"/>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13.6</w:t>
            </w:r>
          </w:p>
        </w:tc>
      </w:tr>
    </w:tbl>
    <w:p w14:paraId="107D4479" w14:textId="30B8902D" w:rsidR="003A14A0" w:rsidRDefault="003A14A0" w:rsidP="003518AB">
      <w:pPr>
        <w:rPr>
          <w:rFonts w:eastAsiaTheme="minorEastAsia"/>
          <w:lang w:eastAsia="ko-KR"/>
        </w:rPr>
      </w:pPr>
    </w:p>
    <w:p w14:paraId="1CD884EF" w14:textId="5289D5EF" w:rsidR="00E9231A" w:rsidRDefault="001C479F" w:rsidP="003518AB">
      <w:pPr>
        <w:pStyle w:val="Heading2"/>
        <w:spacing w:line="240" w:lineRule="auto"/>
        <w:ind w:hanging="540"/>
        <w:contextualSpacing w:val="0"/>
        <w:rPr>
          <w:lang w:eastAsia="ko-KR"/>
        </w:rPr>
      </w:pPr>
      <w:r>
        <w:rPr>
          <w:lang w:eastAsia="ko-KR"/>
        </w:rPr>
        <w:t xml:space="preserve">Walking </w:t>
      </w:r>
      <w:r w:rsidR="00E9231A">
        <w:rPr>
          <w:lang w:eastAsia="ko-KR"/>
        </w:rPr>
        <w:t>Outcome</w:t>
      </w:r>
    </w:p>
    <w:p w14:paraId="527DF0AD" w14:textId="3C851109" w:rsidR="00BF4EDE" w:rsidRDefault="00DB0D5B" w:rsidP="009E3EB3">
      <w:pPr>
        <w:spacing w:after="60"/>
        <w:jc w:val="both"/>
        <w:rPr>
          <w:rFonts w:eastAsiaTheme="minorEastAsia"/>
          <w:lang w:eastAsia="ko-KR"/>
        </w:rPr>
      </w:pPr>
      <w:bookmarkStart w:id="32" w:name="_Hlk169956819"/>
      <w:r w:rsidRPr="00DB0D5B">
        <w:rPr>
          <w:rFonts w:eastAsiaTheme="minorEastAsia"/>
          <w:lang w:eastAsia="ko-KR"/>
        </w:rPr>
        <w:t xml:space="preserve">The </w:t>
      </w:r>
      <w:r w:rsidR="001C479F">
        <w:rPr>
          <w:rFonts w:eastAsiaTheme="minorEastAsia"/>
          <w:lang w:eastAsia="ko-KR"/>
        </w:rPr>
        <w:t>walking (</w:t>
      </w:r>
      <w:r w:rsidRPr="00DB0D5B">
        <w:rPr>
          <w:rFonts w:eastAsiaTheme="minorEastAsia"/>
          <w:lang w:eastAsia="ko-KR"/>
        </w:rPr>
        <w:t>dependent</w:t>
      </w:r>
      <w:r w:rsidR="001C479F">
        <w:rPr>
          <w:rFonts w:eastAsiaTheme="minorEastAsia"/>
          <w:lang w:eastAsia="ko-KR"/>
        </w:rPr>
        <w:t xml:space="preserve">) outcomes </w:t>
      </w:r>
      <w:r w:rsidRPr="00DB0D5B">
        <w:rPr>
          <w:rFonts w:eastAsiaTheme="minorEastAsia"/>
          <w:lang w:eastAsia="ko-KR"/>
        </w:rPr>
        <w:t xml:space="preserve">in this study include the number of days per week spent walking for more than ten minutes at a </w:t>
      </w:r>
      <w:r w:rsidR="00DC71ED">
        <w:rPr>
          <w:rFonts w:eastAsiaTheme="minorEastAsia"/>
          <w:lang w:eastAsia="ko-KR"/>
        </w:rPr>
        <w:t>time</w:t>
      </w:r>
      <w:r w:rsidR="0062324F">
        <w:rPr>
          <w:rFonts w:eastAsiaTheme="minorEastAsia"/>
          <w:lang w:eastAsia="ko-KR"/>
        </w:rPr>
        <w:t xml:space="preserve"> (also referred to as walking frequency)</w:t>
      </w:r>
      <w:r w:rsidRPr="00DB0D5B">
        <w:rPr>
          <w:rFonts w:eastAsiaTheme="minorEastAsia"/>
          <w:lang w:eastAsia="ko-KR"/>
        </w:rPr>
        <w:t xml:space="preserve">, the </w:t>
      </w:r>
      <w:r w:rsidR="00CF4B4C">
        <w:rPr>
          <w:rFonts w:eastAsiaTheme="minorEastAsia"/>
          <w:lang w:eastAsia="ko-KR"/>
        </w:rPr>
        <w:t xml:space="preserve">average daily walking duration on days walked </w:t>
      </w:r>
      <w:r w:rsidR="0062324F">
        <w:rPr>
          <w:rFonts w:eastAsiaTheme="minorEastAsia"/>
          <w:lang w:eastAsia="ko-KR"/>
        </w:rPr>
        <w:t>(also referred to as walking duration)</w:t>
      </w:r>
      <w:r w:rsidR="00853655">
        <w:rPr>
          <w:rFonts w:eastAsiaTheme="minorEastAsia"/>
          <w:lang w:eastAsia="ko-KR"/>
        </w:rPr>
        <w:t>, and</w:t>
      </w:r>
      <w:r w:rsidRPr="00DB0D5B">
        <w:rPr>
          <w:rFonts w:eastAsiaTheme="minorEastAsia"/>
          <w:lang w:eastAsia="ko-KR"/>
        </w:rPr>
        <w:t xml:space="preserve"> </w:t>
      </w:r>
      <w:r w:rsidR="00853655" w:rsidRPr="00DB0D5B">
        <w:rPr>
          <w:rFonts w:eastAsiaTheme="minorEastAsia"/>
          <w:lang w:eastAsia="ko-KR"/>
        </w:rPr>
        <w:t>the propensity to walk with others</w:t>
      </w:r>
      <w:r w:rsidR="00853655">
        <w:rPr>
          <w:rFonts w:eastAsiaTheme="minorEastAsia"/>
          <w:lang w:eastAsia="ko-KR"/>
        </w:rPr>
        <w:t xml:space="preserve"> (also referred to as walking companionship). </w:t>
      </w:r>
      <w:r w:rsidR="00BF4EDE">
        <w:rPr>
          <w:rFonts w:eastAsiaTheme="minorEastAsia"/>
          <w:lang w:eastAsia="ko-KR"/>
        </w:rPr>
        <w:t>The outcome</w:t>
      </w:r>
      <w:r w:rsidR="001C479F">
        <w:rPr>
          <w:rFonts w:eastAsiaTheme="minorEastAsia"/>
          <w:lang w:eastAsia="ko-KR"/>
        </w:rPr>
        <w:t>s</w:t>
      </w:r>
      <w:r w:rsidR="00BF4EDE">
        <w:rPr>
          <w:rFonts w:eastAsiaTheme="minorEastAsia"/>
          <w:lang w:eastAsia="ko-KR"/>
        </w:rPr>
        <w:t xml:space="preserve"> were constructed based on the responden</w:t>
      </w:r>
      <w:r w:rsidR="003123FA">
        <w:rPr>
          <w:rFonts w:eastAsiaTheme="minorEastAsia" w:hint="eastAsia"/>
          <w:lang w:eastAsia="ko-KR"/>
        </w:rPr>
        <w:t>t</w:t>
      </w:r>
      <w:r w:rsidR="00BF4EDE">
        <w:rPr>
          <w:rFonts w:eastAsiaTheme="minorEastAsia"/>
          <w:lang w:eastAsia="ko-KR"/>
        </w:rPr>
        <w:t>s’ answers to the following survey questions:</w:t>
      </w:r>
    </w:p>
    <w:p w14:paraId="2F3B86E0" w14:textId="4EC228E7" w:rsidR="00BF4EDE" w:rsidRPr="00CB0AF7" w:rsidRDefault="00BF4EDE" w:rsidP="009E3EB3">
      <w:pPr>
        <w:pStyle w:val="ListParagraph"/>
        <w:numPr>
          <w:ilvl w:val="0"/>
          <w:numId w:val="35"/>
        </w:numPr>
        <w:spacing w:after="60"/>
        <w:contextualSpacing w:val="0"/>
        <w:jc w:val="both"/>
        <w:rPr>
          <w:rFonts w:ascii="Times New Roman" w:eastAsia="Times New Roman" w:hAnsi="Times New Roman"/>
          <w:szCs w:val="24"/>
        </w:rPr>
      </w:pPr>
      <w:r w:rsidRPr="00CB0AF7">
        <w:rPr>
          <w:rFonts w:ascii="Times New Roman" w:eastAsia="Times New Roman" w:hAnsi="Times New Roman"/>
          <w:szCs w:val="24"/>
        </w:rPr>
        <w:t xml:space="preserve">Frequency of </w:t>
      </w:r>
      <w:r>
        <w:rPr>
          <w:rFonts w:ascii="Times New Roman" w:eastAsia="Times New Roman" w:hAnsi="Times New Roman"/>
          <w:szCs w:val="24"/>
        </w:rPr>
        <w:t>w</w:t>
      </w:r>
      <w:r w:rsidRPr="00CB0AF7">
        <w:rPr>
          <w:rFonts w:ascii="Times New Roman" w:eastAsia="Times New Roman" w:hAnsi="Times New Roman"/>
          <w:szCs w:val="24"/>
        </w:rPr>
        <w:t xml:space="preserve">alking: "In a typical week, how many days do you walk for at least 10 consecutive minutes, regardless of the reason?" </w:t>
      </w:r>
      <w:r w:rsidRPr="00B43AF2">
        <w:rPr>
          <w:rFonts w:ascii="Times New Roman" w:eastAsia="Times New Roman" w:hAnsi="Times New Roman"/>
          <w:szCs w:val="24"/>
        </w:rPr>
        <w:t>(Response options</w:t>
      </w:r>
      <w:r>
        <w:rPr>
          <w:rFonts w:ascii="Times New Roman" w:eastAsia="Times New Roman" w:hAnsi="Times New Roman"/>
          <w:szCs w:val="24"/>
        </w:rPr>
        <w:t xml:space="preserve"> include</w:t>
      </w:r>
      <w:r>
        <w:rPr>
          <w:rFonts w:eastAsiaTheme="minorEastAsia"/>
          <w:lang w:eastAsia="ko-KR"/>
        </w:rPr>
        <w:t xml:space="preserve"> </w:t>
      </w:r>
      <w:r w:rsidR="001C479F">
        <w:rPr>
          <w:rFonts w:eastAsiaTheme="minorEastAsia"/>
          <w:lang w:eastAsia="ko-KR"/>
        </w:rPr>
        <w:t>N</w:t>
      </w:r>
      <w:r>
        <w:rPr>
          <w:rFonts w:eastAsiaTheme="minorEastAsia"/>
          <w:lang w:eastAsia="ko-KR"/>
        </w:rPr>
        <w:t>ever, 1-2, 3-4, 5-6, or 7 days per week)</w:t>
      </w:r>
      <w:r w:rsidR="00CF4B4C">
        <w:rPr>
          <w:rFonts w:eastAsiaTheme="minorEastAsia"/>
          <w:lang w:eastAsia="ko-KR"/>
        </w:rPr>
        <w:t>.</w:t>
      </w:r>
      <w:r w:rsidR="0091212F">
        <w:rPr>
          <w:rFonts w:eastAsiaTheme="minorEastAsia"/>
          <w:lang w:eastAsia="ko-KR"/>
        </w:rPr>
        <w:t xml:space="preserve"> </w:t>
      </w:r>
    </w:p>
    <w:p w14:paraId="19B2018A" w14:textId="7C6500C4" w:rsidR="00BF4EDE" w:rsidRPr="0015667B" w:rsidRDefault="0091212F" w:rsidP="009E3EB3">
      <w:pPr>
        <w:pStyle w:val="ListParagraph"/>
        <w:numPr>
          <w:ilvl w:val="0"/>
          <w:numId w:val="35"/>
        </w:numPr>
        <w:spacing w:after="60"/>
        <w:contextualSpacing w:val="0"/>
        <w:jc w:val="both"/>
        <w:rPr>
          <w:rFonts w:ascii="Times New Roman" w:eastAsia="Times New Roman" w:hAnsi="Times New Roman"/>
          <w:szCs w:val="24"/>
        </w:rPr>
      </w:pPr>
      <w:r w:rsidRPr="0015667B">
        <w:rPr>
          <w:rFonts w:ascii="Times New Roman" w:eastAsia="Times New Roman" w:hAnsi="Times New Roman"/>
          <w:szCs w:val="24"/>
        </w:rPr>
        <w:lastRenderedPageBreak/>
        <w:t xml:space="preserve">Daily </w:t>
      </w:r>
      <w:r w:rsidR="00BF4EDE" w:rsidRPr="0015667B">
        <w:rPr>
          <w:rFonts w:ascii="Times New Roman" w:eastAsia="Times New Roman" w:hAnsi="Times New Roman"/>
          <w:szCs w:val="24"/>
        </w:rPr>
        <w:t xml:space="preserve">walking </w:t>
      </w:r>
      <w:r w:rsidR="00BF4EDE" w:rsidRPr="00A16F8A">
        <w:rPr>
          <w:rFonts w:ascii="Times New Roman" w:eastAsia="Times New Roman" w:hAnsi="Times New Roman"/>
          <w:szCs w:val="24"/>
        </w:rPr>
        <w:t>duration: "On days when you walk, approximately how many minutes do you spend walking on average?" (Response options include</w:t>
      </w:r>
      <w:r w:rsidR="00BF4EDE" w:rsidRPr="00F424E8">
        <w:rPr>
          <w:rFonts w:ascii="Times New Roman" w:eastAsiaTheme="minorEastAsia" w:hAnsi="Times New Roman"/>
          <w:lang w:eastAsia="ko-KR"/>
        </w:rPr>
        <w:t xml:space="preserve"> 10, 11-29, 30-59, or 60 or more minutes)</w:t>
      </w:r>
      <w:r w:rsidRPr="00F424E8">
        <w:rPr>
          <w:rFonts w:ascii="Times New Roman" w:eastAsiaTheme="minorEastAsia" w:hAnsi="Times New Roman"/>
          <w:lang w:eastAsia="ko-KR"/>
        </w:rPr>
        <w:t xml:space="preserve">; for ease, in the rest of this paper, we will refer to this dimension simply as </w:t>
      </w:r>
      <w:r w:rsidR="00CF4B4C" w:rsidRPr="00F424E8">
        <w:rPr>
          <w:rFonts w:ascii="Times New Roman" w:eastAsiaTheme="minorEastAsia" w:hAnsi="Times New Roman"/>
          <w:lang w:eastAsia="ko-KR"/>
        </w:rPr>
        <w:t>“</w:t>
      </w:r>
      <w:r w:rsidRPr="00F424E8">
        <w:rPr>
          <w:rFonts w:ascii="Times New Roman" w:eastAsiaTheme="minorEastAsia" w:hAnsi="Times New Roman"/>
          <w:lang w:eastAsia="ko-KR"/>
        </w:rPr>
        <w:t>walking duration.</w:t>
      </w:r>
      <w:r w:rsidR="00CF4B4C" w:rsidRPr="00F424E8">
        <w:rPr>
          <w:rFonts w:ascii="Times New Roman" w:eastAsiaTheme="minorEastAsia" w:hAnsi="Times New Roman"/>
          <w:lang w:eastAsia="ko-KR"/>
        </w:rPr>
        <w:t>”</w:t>
      </w:r>
      <w:r w:rsidRPr="00F424E8">
        <w:rPr>
          <w:rFonts w:ascii="Times New Roman" w:eastAsiaTheme="minorEastAsia" w:hAnsi="Times New Roman"/>
          <w:lang w:eastAsia="ko-KR"/>
        </w:rPr>
        <w:t xml:space="preserve"> </w:t>
      </w:r>
    </w:p>
    <w:p w14:paraId="09AA26EF" w14:textId="504358C7" w:rsidR="00BF4EDE" w:rsidRPr="00587212" w:rsidRDefault="00CF4B4C" w:rsidP="003518AB">
      <w:pPr>
        <w:pStyle w:val="ListParagraph"/>
        <w:numPr>
          <w:ilvl w:val="0"/>
          <w:numId w:val="35"/>
        </w:numPr>
        <w:contextualSpacing w:val="0"/>
        <w:jc w:val="both"/>
        <w:rPr>
          <w:rFonts w:ascii="Times New Roman" w:eastAsia="Times New Roman" w:hAnsi="Times New Roman"/>
          <w:szCs w:val="24"/>
        </w:rPr>
      </w:pPr>
      <w:r w:rsidRPr="0015667B">
        <w:rPr>
          <w:rFonts w:ascii="Times New Roman" w:eastAsia="Times New Roman" w:hAnsi="Times New Roman"/>
          <w:szCs w:val="24"/>
        </w:rPr>
        <w:t>Social</w:t>
      </w:r>
      <w:r w:rsidR="00BF4EDE" w:rsidRPr="0015667B">
        <w:rPr>
          <w:rFonts w:ascii="Times New Roman" w:eastAsia="Times New Roman" w:hAnsi="Times New Roman"/>
          <w:szCs w:val="24"/>
        </w:rPr>
        <w:t xml:space="preserve"> </w:t>
      </w:r>
      <w:r w:rsidR="00BF4EDE" w:rsidRPr="00587212">
        <w:rPr>
          <w:rFonts w:ascii="Times New Roman" w:eastAsia="Times New Roman" w:hAnsi="Times New Roman"/>
          <w:szCs w:val="24"/>
        </w:rPr>
        <w:t xml:space="preserve">companionship: "In general, when you walk for any reason, how often do you walk with someone else?" (Response options include </w:t>
      </w:r>
      <w:r w:rsidR="001C479F" w:rsidRPr="00587212">
        <w:rPr>
          <w:rFonts w:ascii="Times New Roman" w:eastAsia="Times New Roman" w:hAnsi="Times New Roman"/>
          <w:szCs w:val="24"/>
        </w:rPr>
        <w:t>N</w:t>
      </w:r>
      <w:r w:rsidR="00BF4EDE" w:rsidRPr="00587212">
        <w:rPr>
          <w:rFonts w:ascii="Times New Roman" w:eastAsia="Times New Roman" w:hAnsi="Times New Roman"/>
          <w:szCs w:val="24"/>
        </w:rPr>
        <w:t>ever, Rarely, Sometimes, Often, Always)</w:t>
      </w:r>
      <w:r w:rsidR="00FA0B71" w:rsidRPr="00587212">
        <w:rPr>
          <w:rFonts w:ascii="Times New Roman" w:eastAsia="Times New Roman" w:hAnsi="Times New Roman"/>
          <w:szCs w:val="24"/>
        </w:rPr>
        <w:t xml:space="preserve">; </w:t>
      </w:r>
      <w:r w:rsidR="00FA0B71" w:rsidRPr="00587212">
        <w:rPr>
          <w:rFonts w:ascii="Times New Roman" w:eastAsiaTheme="minorEastAsia" w:hAnsi="Times New Roman"/>
          <w:lang w:eastAsia="ko-KR"/>
        </w:rPr>
        <w:t>for ease, in the rest of this paper, we will refer to this dimension simply as “SC</w:t>
      </w:r>
      <w:r w:rsidR="00A16F8A" w:rsidRPr="00587212">
        <w:rPr>
          <w:rFonts w:ascii="Times New Roman" w:eastAsiaTheme="minorEastAsia" w:hAnsi="Times New Roman"/>
          <w:lang w:eastAsia="ko-KR"/>
        </w:rPr>
        <w:t>.</w:t>
      </w:r>
      <w:r w:rsidR="00FA0B71" w:rsidRPr="00587212">
        <w:rPr>
          <w:rFonts w:ascii="Times New Roman" w:eastAsiaTheme="minorEastAsia" w:hAnsi="Times New Roman"/>
          <w:lang w:eastAsia="ko-KR"/>
        </w:rPr>
        <w:t>”</w:t>
      </w:r>
    </w:p>
    <w:bookmarkEnd w:id="32"/>
    <w:p w14:paraId="668247D0" w14:textId="77777777" w:rsidR="003518AB" w:rsidRDefault="003518AB" w:rsidP="003518AB">
      <w:pPr>
        <w:ind w:firstLine="720"/>
        <w:jc w:val="both"/>
        <w:rPr>
          <w:rFonts w:ascii="Times New Roman" w:eastAsiaTheme="minorEastAsia" w:hAnsi="Times New Roman"/>
          <w:lang w:eastAsia="ko-KR"/>
        </w:rPr>
      </w:pPr>
    </w:p>
    <w:p w14:paraId="31F2693C" w14:textId="7576B81E" w:rsidR="00E2767C" w:rsidRDefault="00BF4EDE" w:rsidP="003518AB">
      <w:pPr>
        <w:ind w:firstLine="720"/>
        <w:jc w:val="both"/>
        <w:rPr>
          <w:rFonts w:ascii="Times New Roman" w:eastAsiaTheme="minorEastAsia" w:hAnsi="Times New Roman"/>
          <w:lang w:eastAsia="ko-KR"/>
        </w:rPr>
      </w:pPr>
      <w:r w:rsidRPr="00587212">
        <w:rPr>
          <w:rFonts w:ascii="Times New Roman" w:eastAsiaTheme="minorEastAsia" w:hAnsi="Times New Roman"/>
          <w:lang w:eastAsia="ko-KR"/>
        </w:rPr>
        <w:t xml:space="preserve">The 10-minute walking duration is especially relevant as it aligns with the </w:t>
      </w:r>
      <w:bookmarkStart w:id="33" w:name="_Hlk169961689"/>
      <w:r w:rsidRPr="00587212">
        <w:rPr>
          <w:rFonts w:ascii="Times New Roman" w:eastAsiaTheme="minorEastAsia" w:hAnsi="Times New Roman"/>
          <w:lang w:eastAsia="ko-KR"/>
        </w:rPr>
        <w:fldChar w:fldCharType="begin"/>
      </w:r>
      <w:r w:rsidRPr="00587212">
        <w:rPr>
          <w:rFonts w:ascii="Times New Roman" w:eastAsiaTheme="minorEastAsia" w:hAnsi="Times New Roman"/>
          <w:lang w:eastAsia="ko-KR"/>
        </w:rPr>
        <w:instrText xml:space="preserve"> ADDIN ZOTERO_ITEM CSL_CITATION {"citationID":"mMjUuFRu","properties":{"formattedCitation":"(World Health Organization, 2010)","plainCitation":"(World Health Organization, 2010)","dontUpdate":true,"noteIndex":0},"citationItems":[{"id":1024,"uris":["http://zotero.org/users/10132210/items/PRBNYE2T"],"itemData":{"id":1024,"type":"book","event-place":"Geneva, Switzerland","publisher":"WHO press","publisher-place":"Geneva, Switzerland","title":"Global recommendations on physical activity for health","author":[{"family":"World Health Organization","given":""}],"issued":{"date-parts":[["2010"]]}}}],"schema":"https://github.com/citation-style-language/schema/raw/master/csl-citation.json"} </w:instrText>
      </w:r>
      <w:r w:rsidRPr="00587212">
        <w:rPr>
          <w:rFonts w:ascii="Times New Roman" w:eastAsiaTheme="minorEastAsia" w:hAnsi="Times New Roman"/>
          <w:lang w:eastAsia="ko-KR"/>
        </w:rPr>
        <w:fldChar w:fldCharType="separate"/>
      </w:r>
      <w:r w:rsidRPr="00587212">
        <w:rPr>
          <w:rFonts w:ascii="Times New Roman" w:hAnsi="Times New Roman"/>
        </w:rPr>
        <w:t xml:space="preserve">World Health Organization's </w:t>
      </w:r>
      <w:r w:rsidRPr="00587212">
        <w:rPr>
          <w:rFonts w:ascii="Times New Roman" w:eastAsiaTheme="minorEastAsia" w:hAnsi="Times New Roman"/>
          <w:lang w:eastAsia="ko-KR"/>
        </w:rPr>
        <w:t>(</w:t>
      </w:r>
      <w:r w:rsidRPr="00587212">
        <w:rPr>
          <w:rFonts w:ascii="Times New Roman" w:hAnsi="Times New Roman"/>
        </w:rPr>
        <w:t>2010</w:t>
      </w:r>
      <w:r w:rsidRPr="00587212">
        <w:rPr>
          <w:rFonts w:ascii="Times New Roman" w:eastAsiaTheme="minorEastAsia" w:hAnsi="Times New Roman"/>
          <w:lang w:eastAsia="ko-KR"/>
        </w:rPr>
        <w:fldChar w:fldCharType="end"/>
      </w:r>
      <w:r w:rsidRPr="00587212">
        <w:rPr>
          <w:rFonts w:ascii="Times New Roman" w:eastAsiaTheme="minorEastAsia" w:hAnsi="Times New Roman"/>
          <w:lang w:eastAsia="ko-KR"/>
        </w:rPr>
        <w:t xml:space="preserve">) </w:t>
      </w:r>
      <w:bookmarkEnd w:id="33"/>
      <w:r w:rsidRPr="00587212">
        <w:rPr>
          <w:rFonts w:ascii="Times New Roman" w:eastAsiaTheme="minorEastAsia" w:hAnsi="Times New Roman"/>
          <w:lang w:eastAsia="ko-KR"/>
        </w:rPr>
        <w:t>recommendation that aerobic activity should be performed in bouts of at least 10 minutes</w:t>
      </w:r>
      <w:r w:rsidRPr="00587212">
        <w:rPr>
          <w:rStyle w:val="FootnoteReference"/>
          <w:rFonts w:ascii="Times New Roman" w:eastAsiaTheme="minorEastAsia" w:hAnsi="Times New Roman"/>
          <w:lang w:eastAsia="ko-KR"/>
        </w:rPr>
        <w:footnoteReference w:id="5"/>
      </w:r>
      <w:r w:rsidRPr="00587212">
        <w:rPr>
          <w:rFonts w:ascii="Times New Roman" w:eastAsiaTheme="minorEastAsia" w:hAnsi="Times New Roman"/>
          <w:lang w:eastAsia="ko-KR"/>
        </w:rPr>
        <w:t>. Respondents who reported never</w:t>
      </w:r>
      <w:r w:rsidRPr="00F424E8">
        <w:rPr>
          <w:rFonts w:ascii="Times New Roman" w:eastAsiaTheme="minorEastAsia" w:hAnsi="Times New Roman"/>
          <w:lang w:eastAsia="ko-KR"/>
        </w:rPr>
        <w:t xml:space="preserve"> walking more than ten minutes </w:t>
      </w:r>
      <w:r w:rsidR="00CF4B4C" w:rsidRPr="00F424E8">
        <w:rPr>
          <w:rFonts w:ascii="Times New Roman" w:eastAsiaTheme="minorEastAsia" w:hAnsi="Times New Roman"/>
          <w:lang w:eastAsia="ko-KR"/>
        </w:rPr>
        <w:t xml:space="preserve">per day </w:t>
      </w:r>
      <w:r w:rsidRPr="00F424E8">
        <w:rPr>
          <w:rFonts w:ascii="Times New Roman" w:eastAsiaTheme="minorEastAsia" w:hAnsi="Times New Roman"/>
          <w:lang w:eastAsia="ko-KR"/>
        </w:rPr>
        <w:t xml:space="preserve">were not asked about their </w:t>
      </w:r>
      <w:r w:rsidR="00CF4B4C" w:rsidRPr="00F424E8">
        <w:rPr>
          <w:rFonts w:ascii="Times New Roman" w:eastAsiaTheme="minorEastAsia" w:hAnsi="Times New Roman"/>
          <w:lang w:eastAsia="ko-KR"/>
        </w:rPr>
        <w:t xml:space="preserve">walking </w:t>
      </w:r>
      <w:r w:rsidRPr="00F424E8">
        <w:rPr>
          <w:rFonts w:ascii="Times New Roman" w:eastAsiaTheme="minorEastAsia" w:hAnsi="Times New Roman"/>
          <w:lang w:eastAsia="ko-KR"/>
        </w:rPr>
        <w:t xml:space="preserve">duration and </w:t>
      </w:r>
      <w:r w:rsidR="00CF4B4C" w:rsidRPr="00F424E8">
        <w:rPr>
          <w:rFonts w:ascii="Times New Roman" w:eastAsiaTheme="minorEastAsia" w:hAnsi="Times New Roman"/>
          <w:lang w:eastAsia="ko-KR"/>
        </w:rPr>
        <w:t xml:space="preserve">social </w:t>
      </w:r>
      <w:r w:rsidRPr="00F424E8">
        <w:rPr>
          <w:rFonts w:ascii="Times New Roman" w:eastAsiaTheme="minorEastAsia" w:hAnsi="Times New Roman"/>
          <w:lang w:eastAsia="ko-KR"/>
        </w:rPr>
        <w:t xml:space="preserve">companionship. Table 3 shows the distribution of the three outcome variables. Responses were predominantly concentrated around the mid-level options for all three questions, yet each level retained a sufficiently large </w:t>
      </w:r>
      <w:r w:rsidR="00236ADB" w:rsidRPr="00F424E8">
        <w:rPr>
          <w:rFonts w:ascii="Times New Roman" w:eastAsiaTheme="minorEastAsia" w:hAnsi="Times New Roman"/>
          <w:lang w:eastAsia="ko-KR"/>
        </w:rPr>
        <w:t>number of observations</w:t>
      </w:r>
      <w:r w:rsidRPr="00F424E8">
        <w:rPr>
          <w:rFonts w:ascii="Times New Roman" w:eastAsiaTheme="minorEastAsia" w:hAnsi="Times New Roman"/>
          <w:lang w:eastAsia="ko-KR"/>
        </w:rPr>
        <w:t>.</w:t>
      </w:r>
    </w:p>
    <w:p w14:paraId="55A53B61" w14:textId="77777777" w:rsidR="003518AB" w:rsidRPr="00F424E8" w:rsidRDefault="003518AB" w:rsidP="003518AB">
      <w:pPr>
        <w:ind w:firstLine="720"/>
        <w:jc w:val="both"/>
        <w:rPr>
          <w:rFonts w:ascii="Times New Roman" w:eastAsiaTheme="minorEastAsia" w:hAnsi="Times New Roman"/>
          <w:lang w:eastAsia="ko-KR"/>
        </w:rPr>
      </w:pPr>
    </w:p>
    <w:p w14:paraId="02EFC637" w14:textId="5669D8CE" w:rsidR="00250BF4" w:rsidRPr="00A02B56" w:rsidRDefault="00250BF4" w:rsidP="003518AB">
      <w:pPr>
        <w:rPr>
          <w:rFonts w:ascii="Times New Roman" w:eastAsiaTheme="minorEastAsia" w:hAnsi="Times New Roman"/>
          <w:b/>
          <w:bCs/>
          <w:lang w:eastAsia="ko-KR"/>
        </w:rPr>
      </w:pPr>
      <w:r w:rsidRPr="00A02B56">
        <w:rPr>
          <w:rFonts w:ascii="Times New Roman" w:hAnsi="Times New Roman"/>
          <w:b/>
          <w:bCs/>
        </w:rPr>
        <w:t xml:space="preserve">Table </w:t>
      </w:r>
      <w:r w:rsidRPr="00A02B56">
        <w:rPr>
          <w:rFonts w:ascii="Times New Roman" w:hAnsi="Times New Roman"/>
          <w:b/>
          <w:bCs/>
        </w:rPr>
        <w:fldChar w:fldCharType="begin"/>
      </w:r>
      <w:r w:rsidRPr="00A02B56">
        <w:rPr>
          <w:rFonts w:ascii="Times New Roman" w:hAnsi="Times New Roman"/>
          <w:b/>
          <w:bCs/>
        </w:rPr>
        <w:instrText xml:space="preserve"> SEQ Table \* ARABIC </w:instrText>
      </w:r>
      <w:r w:rsidRPr="00A02B56">
        <w:rPr>
          <w:rFonts w:ascii="Times New Roman" w:hAnsi="Times New Roman"/>
          <w:b/>
          <w:bCs/>
        </w:rPr>
        <w:fldChar w:fldCharType="separate"/>
      </w:r>
      <w:r w:rsidR="00D440F8">
        <w:rPr>
          <w:rFonts w:ascii="Times New Roman" w:hAnsi="Times New Roman"/>
          <w:b/>
          <w:bCs/>
          <w:noProof/>
        </w:rPr>
        <w:t>3</w:t>
      </w:r>
      <w:r w:rsidRPr="00A02B56">
        <w:rPr>
          <w:rFonts w:ascii="Times New Roman" w:hAnsi="Times New Roman"/>
          <w:b/>
          <w:bCs/>
        </w:rPr>
        <w:fldChar w:fldCharType="end"/>
      </w:r>
      <w:r w:rsidR="00AA7404">
        <w:rPr>
          <w:rFonts w:ascii="Times New Roman" w:hAnsi="Times New Roman"/>
          <w:b/>
          <w:bCs/>
        </w:rPr>
        <w:t>.</w:t>
      </w:r>
      <w:r w:rsidR="00A02B56">
        <w:rPr>
          <w:rFonts w:ascii="Times New Roman" w:eastAsiaTheme="minorEastAsia" w:hAnsi="Times New Roman" w:hint="eastAsia"/>
          <w:b/>
          <w:bCs/>
          <w:lang w:eastAsia="ko-KR"/>
        </w:rPr>
        <w:t xml:space="preserve"> Distribution of Outcome Variables</w:t>
      </w:r>
    </w:p>
    <w:tbl>
      <w:tblPr>
        <w:tblW w:w="93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953"/>
        <w:gridCol w:w="1264"/>
        <w:gridCol w:w="1980"/>
        <w:gridCol w:w="1080"/>
        <w:gridCol w:w="1998"/>
        <w:gridCol w:w="1033"/>
      </w:tblGrid>
      <w:tr w:rsidR="00337853" w:rsidRPr="007F24B9" w14:paraId="38A1BDE9" w14:textId="77777777" w:rsidTr="00501DA3">
        <w:trPr>
          <w:trHeight w:val="317"/>
          <w:tblHeader/>
        </w:trPr>
        <w:tc>
          <w:tcPr>
            <w:tcW w:w="3217" w:type="dxa"/>
            <w:gridSpan w:val="2"/>
            <w:tcBorders>
              <w:top w:val="single" w:sz="18" w:space="0" w:color="auto"/>
              <w:left w:val="single" w:sz="18" w:space="0" w:color="auto"/>
              <w:bottom w:val="single" w:sz="12" w:space="0" w:color="auto"/>
              <w:right w:val="single" w:sz="12" w:space="0" w:color="auto"/>
            </w:tcBorders>
            <w:shd w:val="clear" w:color="auto" w:fill="auto"/>
            <w:noWrap/>
            <w:vAlign w:val="bottom"/>
            <w:hideMark/>
          </w:tcPr>
          <w:p w14:paraId="13CFF539" w14:textId="77777777" w:rsidR="00A16F8A" w:rsidRPr="007F24B9" w:rsidRDefault="00337853" w:rsidP="003518AB">
            <w:pPr>
              <w:rPr>
                <w:rFonts w:ascii="Times New Roman" w:eastAsia="Times New Roman" w:hAnsi="Times New Roman"/>
                <w:b/>
                <w:bCs/>
                <w:color w:val="000000"/>
                <w:sz w:val="23"/>
                <w:szCs w:val="23"/>
                <w:lang w:eastAsia="ko-KR"/>
              </w:rPr>
            </w:pPr>
            <w:r w:rsidRPr="007F24B9">
              <w:rPr>
                <w:b/>
                <w:bCs/>
                <w:sz w:val="23"/>
                <w:szCs w:val="23"/>
                <w:lang w:eastAsia="ko-KR"/>
              </w:rPr>
              <w:t>Walking</w:t>
            </w:r>
            <w:r w:rsidRPr="007F24B9">
              <w:rPr>
                <w:rFonts w:ascii="Times New Roman" w:eastAsia="Times New Roman" w:hAnsi="Times New Roman"/>
                <w:b/>
                <w:bCs/>
                <w:color w:val="000000"/>
                <w:sz w:val="23"/>
                <w:szCs w:val="23"/>
                <w:lang w:eastAsia="ko-KR"/>
              </w:rPr>
              <w:t xml:space="preserve"> frequency</w:t>
            </w:r>
          </w:p>
          <w:p w14:paraId="78E0F68D" w14:textId="1A562A3F" w:rsidR="00337853" w:rsidRPr="007F24B9" w:rsidRDefault="00CF4B4C" w:rsidP="003518AB">
            <w:pPr>
              <w:rPr>
                <w:rFonts w:ascii="Times New Roman" w:eastAsiaTheme="minorEastAsia" w:hAnsi="Times New Roman"/>
                <w:b/>
                <w:bCs/>
                <w:color w:val="000000"/>
                <w:sz w:val="23"/>
                <w:szCs w:val="23"/>
                <w:lang w:eastAsia="ko-KR"/>
              </w:rPr>
            </w:pPr>
            <w:r w:rsidRPr="007F24B9">
              <w:rPr>
                <w:rFonts w:ascii="Times New Roman" w:eastAsia="Times New Roman" w:hAnsi="Times New Roman"/>
                <w:b/>
                <w:bCs/>
                <w:color w:val="000000"/>
                <w:sz w:val="23"/>
                <w:szCs w:val="23"/>
                <w:lang w:eastAsia="ko-KR"/>
              </w:rPr>
              <w:t>(weekly)</w:t>
            </w:r>
          </w:p>
          <w:p w14:paraId="28098529" w14:textId="2D56E020" w:rsidR="00337853" w:rsidRPr="007F24B9" w:rsidRDefault="00337853" w:rsidP="003518AB">
            <w:pPr>
              <w:jc w:val="right"/>
              <w:rPr>
                <w:rFonts w:ascii="Times New Roman" w:eastAsia="Times New Roman" w:hAnsi="Times New Roman"/>
                <w:b/>
                <w:bCs/>
                <w:color w:val="000000"/>
                <w:sz w:val="23"/>
                <w:szCs w:val="23"/>
                <w:lang w:eastAsia="ko-KR"/>
              </w:rPr>
            </w:pPr>
            <w:r w:rsidRPr="007F24B9">
              <w:rPr>
                <w:rFonts w:ascii="Times New Roman" w:eastAsia="Times New Roman" w:hAnsi="Times New Roman"/>
                <w:b/>
                <w:bCs/>
                <w:color w:val="000000"/>
                <w:sz w:val="23"/>
                <w:szCs w:val="23"/>
                <w:lang w:eastAsia="ko-KR"/>
              </w:rPr>
              <w:t>(N=1667)</w:t>
            </w:r>
          </w:p>
        </w:tc>
        <w:tc>
          <w:tcPr>
            <w:tcW w:w="3060" w:type="dxa"/>
            <w:gridSpan w:val="2"/>
            <w:tcBorders>
              <w:top w:val="single" w:sz="18" w:space="0" w:color="auto"/>
              <w:left w:val="single" w:sz="12" w:space="0" w:color="auto"/>
              <w:bottom w:val="single" w:sz="12" w:space="0" w:color="auto"/>
              <w:right w:val="single" w:sz="12" w:space="0" w:color="auto"/>
            </w:tcBorders>
            <w:shd w:val="clear" w:color="auto" w:fill="auto"/>
            <w:noWrap/>
            <w:vAlign w:val="bottom"/>
            <w:hideMark/>
          </w:tcPr>
          <w:p w14:paraId="0BC08D76" w14:textId="77777777" w:rsidR="00656149" w:rsidRPr="007F24B9" w:rsidRDefault="00CF4B4C" w:rsidP="003518AB">
            <w:pPr>
              <w:rPr>
                <w:rFonts w:ascii="Times New Roman" w:eastAsiaTheme="minorEastAsia" w:hAnsi="Times New Roman"/>
                <w:b/>
                <w:bCs/>
                <w:color w:val="000000"/>
                <w:sz w:val="23"/>
                <w:szCs w:val="23"/>
                <w:lang w:eastAsia="ko-KR"/>
              </w:rPr>
            </w:pPr>
            <w:r w:rsidRPr="007F24B9">
              <w:rPr>
                <w:rFonts w:ascii="Times New Roman" w:eastAsiaTheme="minorEastAsia" w:hAnsi="Times New Roman"/>
                <w:b/>
                <w:bCs/>
                <w:color w:val="000000"/>
                <w:sz w:val="23"/>
                <w:szCs w:val="23"/>
                <w:lang w:eastAsia="ko-KR"/>
              </w:rPr>
              <w:t>W</w:t>
            </w:r>
            <w:r w:rsidR="0060521B" w:rsidRPr="007F24B9">
              <w:rPr>
                <w:rFonts w:ascii="Times New Roman" w:eastAsia="Times New Roman" w:hAnsi="Times New Roman"/>
                <w:b/>
                <w:bCs/>
                <w:color w:val="000000"/>
                <w:sz w:val="23"/>
                <w:szCs w:val="23"/>
                <w:lang w:eastAsia="ko-KR"/>
              </w:rPr>
              <w:t>alking duration</w:t>
            </w:r>
            <w:r w:rsidR="0060521B" w:rsidRPr="007F24B9">
              <w:rPr>
                <w:rFonts w:ascii="Times New Roman" w:eastAsiaTheme="minorEastAsia" w:hAnsi="Times New Roman" w:hint="eastAsia"/>
                <w:b/>
                <w:bCs/>
                <w:color w:val="000000"/>
                <w:sz w:val="23"/>
                <w:szCs w:val="23"/>
                <w:lang w:eastAsia="ko-KR"/>
              </w:rPr>
              <w:t xml:space="preserve"> </w:t>
            </w:r>
          </w:p>
          <w:p w14:paraId="2A17FACE" w14:textId="769F7053" w:rsidR="0060521B" w:rsidRPr="007F24B9" w:rsidRDefault="00CF4B4C" w:rsidP="003518AB">
            <w:pPr>
              <w:rPr>
                <w:rFonts w:ascii="Times New Roman" w:eastAsiaTheme="minorEastAsia" w:hAnsi="Times New Roman"/>
                <w:b/>
                <w:bCs/>
                <w:color w:val="000000"/>
                <w:sz w:val="23"/>
                <w:szCs w:val="23"/>
                <w:lang w:eastAsia="ko-KR"/>
              </w:rPr>
            </w:pPr>
            <w:r w:rsidRPr="007F24B9">
              <w:rPr>
                <w:rFonts w:ascii="Times New Roman" w:eastAsiaTheme="minorEastAsia" w:hAnsi="Times New Roman"/>
                <w:b/>
                <w:bCs/>
                <w:color w:val="000000"/>
                <w:sz w:val="23"/>
                <w:szCs w:val="23"/>
                <w:lang w:eastAsia="ko-KR"/>
              </w:rPr>
              <w:t xml:space="preserve">(per day of walking) </w:t>
            </w:r>
          </w:p>
          <w:p w14:paraId="743CD32A" w14:textId="562487A9" w:rsidR="00337853" w:rsidRPr="007F24B9" w:rsidRDefault="00337853" w:rsidP="003518AB">
            <w:pPr>
              <w:jc w:val="right"/>
              <w:rPr>
                <w:rFonts w:ascii="Times New Roman" w:eastAsia="Times New Roman" w:hAnsi="Times New Roman"/>
                <w:b/>
                <w:bCs/>
                <w:color w:val="000000"/>
                <w:sz w:val="23"/>
                <w:szCs w:val="23"/>
                <w:lang w:eastAsia="ko-KR"/>
              </w:rPr>
            </w:pPr>
            <w:r w:rsidRPr="007F24B9">
              <w:rPr>
                <w:rFonts w:ascii="Times New Roman" w:eastAsia="Times New Roman" w:hAnsi="Times New Roman"/>
                <w:b/>
                <w:bCs/>
                <w:color w:val="000000"/>
                <w:sz w:val="23"/>
                <w:szCs w:val="23"/>
                <w:lang w:eastAsia="ko-KR"/>
              </w:rPr>
              <w:t>(N=1352)</w:t>
            </w:r>
          </w:p>
        </w:tc>
        <w:tc>
          <w:tcPr>
            <w:tcW w:w="3031" w:type="dxa"/>
            <w:gridSpan w:val="2"/>
            <w:tcBorders>
              <w:top w:val="single" w:sz="18" w:space="0" w:color="auto"/>
              <w:left w:val="single" w:sz="12" w:space="0" w:color="auto"/>
              <w:bottom w:val="single" w:sz="12" w:space="0" w:color="auto"/>
              <w:right w:val="single" w:sz="18" w:space="0" w:color="auto"/>
            </w:tcBorders>
            <w:shd w:val="clear" w:color="auto" w:fill="auto"/>
            <w:noWrap/>
            <w:vAlign w:val="bottom"/>
            <w:hideMark/>
          </w:tcPr>
          <w:p w14:paraId="04BC08EE" w14:textId="5DA51E41" w:rsidR="00337853" w:rsidRPr="007F24B9" w:rsidRDefault="00FA0B71" w:rsidP="003518AB">
            <w:pPr>
              <w:rPr>
                <w:rFonts w:ascii="Times New Roman" w:eastAsiaTheme="minorEastAsia" w:hAnsi="Times New Roman"/>
                <w:b/>
                <w:bCs/>
                <w:color w:val="000000"/>
                <w:sz w:val="23"/>
                <w:szCs w:val="23"/>
                <w:lang w:eastAsia="ko-KR"/>
              </w:rPr>
            </w:pPr>
            <w:r w:rsidRPr="007F24B9">
              <w:rPr>
                <w:rFonts w:ascii="Times New Roman" w:eastAsiaTheme="minorEastAsia" w:hAnsi="Times New Roman"/>
                <w:b/>
                <w:bCs/>
                <w:color w:val="000000"/>
                <w:sz w:val="23"/>
                <w:szCs w:val="23"/>
                <w:lang w:eastAsia="ko-KR"/>
              </w:rPr>
              <w:t xml:space="preserve">Social </w:t>
            </w:r>
            <w:r w:rsidR="003F1FEA" w:rsidRPr="007F24B9">
              <w:rPr>
                <w:rFonts w:ascii="Times New Roman" w:eastAsiaTheme="minorEastAsia" w:hAnsi="Times New Roman" w:hint="eastAsia"/>
                <w:b/>
                <w:bCs/>
                <w:color w:val="000000"/>
                <w:sz w:val="23"/>
                <w:szCs w:val="23"/>
                <w:lang w:eastAsia="ko-KR"/>
              </w:rPr>
              <w:t>Companionship</w:t>
            </w:r>
            <w:r w:rsidR="00A16F8A" w:rsidRPr="007F24B9">
              <w:rPr>
                <w:rFonts w:ascii="Times New Roman" w:eastAsiaTheme="minorEastAsia" w:hAnsi="Times New Roman"/>
                <w:b/>
                <w:bCs/>
                <w:color w:val="000000"/>
                <w:sz w:val="23"/>
                <w:szCs w:val="23"/>
                <w:lang w:eastAsia="ko-KR"/>
              </w:rPr>
              <w:t xml:space="preserve"> (SC)</w:t>
            </w:r>
          </w:p>
          <w:p w14:paraId="65BA56D3" w14:textId="3319ED94" w:rsidR="00337853" w:rsidRPr="007F24B9" w:rsidRDefault="00337853" w:rsidP="003518AB">
            <w:pPr>
              <w:jc w:val="right"/>
              <w:rPr>
                <w:rFonts w:ascii="Times New Roman" w:eastAsia="Times New Roman" w:hAnsi="Times New Roman"/>
                <w:b/>
                <w:bCs/>
                <w:color w:val="000000"/>
                <w:sz w:val="23"/>
                <w:szCs w:val="23"/>
                <w:lang w:eastAsia="ko-KR"/>
              </w:rPr>
            </w:pPr>
            <w:r w:rsidRPr="007F24B9">
              <w:rPr>
                <w:rFonts w:ascii="Times New Roman" w:eastAsia="Times New Roman" w:hAnsi="Times New Roman"/>
                <w:b/>
                <w:bCs/>
                <w:color w:val="000000"/>
                <w:sz w:val="23"/>
                <w:szCs w:val="23"/>
                <w:lang w:eastAsia="ko-KR"/>
              </w:rPr>
              <w:t>(N=1352)</w:t>
            </w:r>
          </w:p>
        </w:tc>
      </w:tr>
      <w:tr w:rsidR="0060521B" w:rsidRPr="007F24B9" w14:paraId="5DE13755" w14:textId="77777777" w:rsidTr="00F424E8">
        <w:trPr>
          <w:trHeight w:val="317"/>
        </w:trPr>
        <w:tc>
          <w:tcPr>
            <w:tcW w:w="1953" w:type="dxa"/>
            <w:tcBorders>
              <w:top w:val="single" w:sz="12" w:space="0" w:color="auto"/>
              <w:left w:val="single" w:sz="18" w:space="0" w:color="auto"/>
              <w:bottom w:val="dashSmallGap" w:sz="4" w:space="0" w:color="auto"/>
            </w:tcBorders>
            <w:shd w:val="clear" w:color="auto" w:fill="auto"/>
            <w:noWrap/>
            <w:vAlign w:val="center"/>
            <w:hideMark/>
          </w:tcPr>
          <w:p w14:paraId="2FFF64A5" w14:textId="77777777" w:rsidR="0060521B" w:rsidRPr="007F24B9" w:rsidRDefault="0060521B" w:rsidP="003518AB">
            <w:pPr>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Never</w:t>
            </w:r>
          </w:p>
        </w:tc>
        <w:tc>
          <w:tcPr>
            <w:tcW w:w="1264" w:type="dxa"/>
            <w:tcBorders>
              <w:top w:val="single" w:sz="12" w:space="0" w:color="auto"/>
              <w:bottom w:val="dashSmallGap" w:sz="4" w:space="0" w:color="auto"/>
              <w:right w:val="single" w:sz="12" w:space="0" w:color="auto"/>
            </w:tcBorders>
            <w:shd w:val="clear" w:color="auto" w:fill="auto"/>
            <w:noWrap/>
            <w:hideMark/>
          </w:tcPr>
          <w:p w14:paraId="740829BC" w14:textId="77777777" w:rsidR="0060521B" w:rsidRPr="007F24B9" w:rsidRDefault="0060521B" w:rsidP="003518AB">
            <w:pPr>
              <w:jc w:val="right"/>
              <w:rPr>
                <w:rFonts w:ascii="Times New Roman" w:eastAsiaTheme="minorEastAsia" w:hAnsi="Times New Roman"/>
                <w:color w:val="000000"/>
                <w:sz w:val="23"/>
                <w:szCs w:val="23"/>
                <w:lang w:eastAsia="ko-KR"/>
              </w:rPr>
            </w:pPr>
            <w:r w:rsidRPr="007F24B9">
              <w:rPr>
                <w:rFonts w:ascii="Times New Roman" w:eastAsia="Times New Roman" w:hAnsi="Times New Roman"/>
                <w:color w:val="000000"/>
                <w:sz w:val="23"/>
                <w:szCs w:val="23"/>
                <w:lang w:eastAsia="ko-KR"/>
              </w:rPr>
              <w:t>315</w:t>
            </w:r>
          </w:p>
          <w:p w14:paraId="73C4CEFA" w14:textId="7490DA00" w:rsidR="0060521B" w:rsidRPr="007F24B9" w:rsidRDefault="0060521B" w:rsidP="003518AB">
            <w:pPr>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(18.9%)</w:t>
            </w:r>
          </w:p>
        </w:tc>
        <w:tc>
          <w:tcPr>
            <w:tcW w:w="1980" w:type="dxa"/>
            <w:tcBorders>
              <w:top w:val="single" w:sz="12" w:space="0" w:color="auto"/>
              <w:left w:val="single" w:sz="12" w:space="0" w:color="auto"/>
              <w:bottom w:val="dashSmallGap" w:sz="4" w:space="0" w:color="auto"/>
            </w:tcBorders>
            <w:shd w:val="clear" w:color="auto" w:fill="auto"/>
            <w:noWrap/>
            <w:vAlign w:val="center"/>
            <w:hideMark/>
          </w:tcPr>
          <w:p w14:paraId="60454022" w14:textId="0E70965D" w:rsidR="0060521B" w:rsidRPr="007F24B9" w:rsidRDefault="0060521B" w:rsidP="003518AB">
            <w:pPr>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10 minutes</w:t>
            </w:r>
          </w:p>
        </w:tc>
        <w:tc>
          <w:tcPr>
            <w:tcW w:w="1080" w:type="dxa"/>
            <w:tcBorders>
              <w:top w:val="single" w:sz="12" w:space="0" w:color="auto"/>
              <w:bottom w:val="dashSmallGap" w:sz="4" w:space="0" w:color="auto"/>
              <w:right w:val="single" w:sz="12" w:space="0" w:color="auto"/>
            </w:tcBorders>
            <w:shd w:val="clear" w:color="auto" w:fill="auto"/>
            <w:noWrap/>
            <w:hideMark/>
          </w:tcPr>
          <w:p w14:paraId="219488F9" w14:textId="77777777" w:rsidR="0060521B" w:rsidRPr="007F24B9" w:rsidRDefault="0060521B" w:rsidP="003518AB">
            <w:pPr>
              <w:jc w:val="right"/>
              <w:rPr>
                <w:rFonts w:ascii="Times New Roman" w:eastAsiaTheme="minorEastAsia" w:hAnsi="Times New Roman"/>
                <w:color w:val="000000"/>
                <w:sz w:val="23"/>
                <w:szCs w:val="23"/>
                <w:lang w:eastAsia="ko-KR"/>
              </w:rPr>
            </w:pPr>
            <w:r w:rsidRPr="007F24B9">
              <w:rPr>
                <w:rFonts w:ascii="Times New Roman" w:eastAsia="Times New Roman" w:hAnsi="Times New Roman"/>
                <w:color w:val="000000"/>
                <w:sz w:val="23"/>
                <w:szCs w:val="23"/>
                <w:lang w:eastAsia="ko-KR"/>
              </w:rPr>
              <w:t>159</w:t>
            </w:r>
          </w:p>
          <w:p w14:paraId="5BBA472B" w14:textId="5A5780D6" w:rsidR="0060521B" w:rsidRPr="007F24B9" w:rsidRDefault="0060521B" w:rsidP="003518AB">
            <w:pPr>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(11.7%)</w:t>
            </w:r>
          </w:p>
        </w:tc>
        <w:tc>
          <w:tcPr>
            <w:tcW w:w="1998" w:type="dxa"/>
            <w:tcBorders>
              <w:top w:val="single" w:sz="12" w:space="0" w:color="auto"/>
              <w:left w:val="single" w:sz="12" w:space="0" w:color="auto"/>
              <w:bottom w:val="dashSmallGap" w:sz="4" w:space="0" w:color="auto"/>
            </w:tcBorders>
            <w:shd w:val="clear" w:color="auto" w:fill="auto"/>
            <w:noWrap/>
            <w:vAlign w:val="center"/>
            <w:hideMark/>
          </w:tcPr>
          <w:p w14:paraId="14492F44" w14:textId="5038063B" w:rsidR="0060521B" w:rsidRPr="007F24B9" w:rsidRDefault="0060521B" w:rsidP="003518AB">
            <w:pPr>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Never</w:t>
            </w:r>
          </w:p>
        </w:tc>
        <w:tc>
          <w:tcPr>
            <w:tcW w:w="1033" w:type="dxa"/>
            <w:tcBorders>
              <w:top w:val="single" w:sz="12" w:space="0" w:color="auto"/>
              <w:bottom w:val="dashSmallGap" w:sz="4" w:space="0" w:color="auto"/>
              <w:right w:val="single" w:sz="18" w:space="0" w:color="auto"/>
            </w:tcBorders>
            <w:shd w:val="clear" w:color="auto" w:fill="auto"/>
            <w:noWrap/>
            <w:hideMark/>
          </w:tcPr>
          <w:p w14:paraId="02DA1CE0" w14:textId="77777777" w:rsidR="0060521B" w:rsidRPr="007F24B9" w:rsidRDefault="0060521B" w:rsidP="003518AB">
            <w:pPr>
              <w:jc w:val="right"/>
              <w:rPr>
                <w:rFonts w:ascii="Times New Roman" w:eastAsiaTheme="minorEastAsia" w:hAnsi="Times New Roman"/>
                <w:color w:val="000000"/>
                <w:sz w:val="23"/>
                <w:szCs w:val="23"/>
                <w:lang w:eastAsia="ko-KR"/>
              </w:rPr>
            </w:pPr>
            <w:r w:rsidRPr="007F24B9">
              <w:rPr>
                <w:rFonts w:ascii="Times New Roman" w:eastAsia="Times New Roman" w:hAnsi="Times New Roman"/>
                <w:color w:val="000000"/>
                <w:sz w:val="23"/>
                <w:szCs w:val="23"/>
                <w:lang w:eastAsia="ko-KR"/>
              </w:rPr>
              <w:t>160</w:t>
            </w:r>
          </w:p>
          <w:p w14:paraId="56A6F3BB" w14:textId="04925C8D" w:rsidR="0060521B" w:rsidRPr="007F24B9" w:rsidRDefault="0060521B" w:rsidP="003518AB">
            <w:pPr>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(11.9%)</w:t>
            </w:r>
          </w:p>
        </w:tc>
      </w:tr>
      <w:tr w:rsidR="0060521B" w:rsidRPr="007F24B9" w14:paraId="6DE7BDA7" w14:textId="77777777" w:rsidTr="00F424E8">
        <w:trPr>
          <w:trHeight w:val="317"/>
        </w:trPr>
        <w:tc>
          <w:tcPr>
            <w:tcW w:w="1953" w:type="dxa"/>
            <w:tcBorders>
              <w:top w:val="dashSmallGap" w:sz="4" w:space="0" w:color="auto"/>
              <w:left w:val="single" w:sz="18" w:space="0" w:color="auto"/>
              <w:bottom w:val="dashSmallGap" w:sz="4" w:space="0" w:color="auto"/>
            </w:tcBorders>
            <w:shd w:val="clear" w:color="auto" w:fill="auto"/>
            <w:noWrap/>
            <w:vAlign w:val="center"/>
            <w:hideMark/>
          </w:tcPr>
          <w:p w14:paraId="24148F06" w14:textId="4AEF410A" w:rsidR="0060521B" w:rsidRPr="007F24B9" w:rsidRDefault="0060521B" w:rsidP="003518AB">
            <w:pPr>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1-2 days</w:t>
            </w:r>
            <w:r w:rsidRPr="007F24B9">
              <w:rPr>
                <w:rFonts w:ascii="Times New Roman" w:eastAsiaTheme="minorEastAsia" w:hAnsi="Times New Roman" w:hint="eastAsia"/>
                <w:color w:val="000000"/>
                <w:sz w:val="23"/>
                <w:szCs w:val="23"/>
                <w:lang w:eastAsia="ko-KR"/>
              </w:rPr>
              <w:t>/</w:t>
            </w:r>
            <w:r w:rsidRPr="007F24B9">
              <w:rPr>
                <w:rFonts w:ascii="Times New Roman" w:eastAsia="Times New Roman" w:hAnsi="Times New Roman"/>
                <w:color w:val="000000"/>
                <w:sz w:val="23"/>
                <w:szCs w:val="23"/>
                <w:lang w:eastAsia="ko-KR"/>
              </w:rPr>
              <w:t>week</w:t>
            </w:r>
          </w:p>
        </w:tc>
        <w:tc>
          <w:tcPr>
            <w:tcW w:w="1264" w:type="dxa"/>
            <w:tcBorders>
              <w:top w:val="dashSmallGap" w:sz="4" w:space="0" w:color="auto"/>
              <w:bottom w:val="dashSmallGap" w:sz="4" w:space="0" w:color="auto"/>
              <w:right w:val="single" w:sz="12" w:space="0" w:color="auto"/>
            </w:tcBorders>
            <w:shd w:val="clear" w:color="auto" w:fill="auto"/>
            <w:noWrap/>
            <w:hideMark/>
          </w:tcPr>
          <w:p w14:paraId="49115DE0" w14:textId="77777777" w:rsidR="0060521B" w:rsidRPr="007F24B9" w:rsidRDefault="0060521B" w:rsidP="003518AB">
            <w:pPr>
              <w:jc w:val="right"/>
              <w:rPr>
                <w:rFonts w:ascii="Times New Roman" w:eastAsiaTheme="minorEastAsia" w:hAnsi="Times New Roman"/>
                <w:color w:val="000000"/>
                <w:sz w:val="23"/>
                <w:szCs w:val="23"/>
                <w:lang w:eastAsia="ko-KR"/>
              </w:rPr>
            </w:pPr>
            <w:r w:rsidRPr="007F24B9">
              <w:rPr>
                <w:rFonts w:ascii="Times New Roman" w:eastAsia="Times New Roman" w:hAnsi="Times New Roman"/>
                <w:color w:val="000000"/>
                <w:sz w:val="23"/>
                <w:szCs w:val="23"/>
                <w:lang w:eastAsia="ko-KR"/>
              </w:rPr>
              <w:t>285</w:t>
            </w:r>
          </w:p>
          <w:p w14:paraId="43BF962C" w14:textId="7835F553" w:rsidR="0060521B" w:rsidRPr="007F24B9" w:rsidRDefault="0060521B" w:rsidP="003518AB">
            <w:pPr>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(17.1%)</w:t>
            </w:r>
          </w:p>
        </w:tc>
        <w:tc>
          <w:tcPr>
            <w:tcW w:w="1980" w:type="dxa"/>
            <w:tcBorders>
              <w:top w:val="dashSmallGap" w:sz="4" w:space="0" w:color="auto"/>
              <w:left w:val="single" w:sz="12" w:space="0" w:color="auto"/>
              <w:bottom w:val="dashSmallGap" w:sz="4" w:space="0" w:color="auto"/>
            </w:tcBorders>
            <w:shd w:val="clear" w:color="auto" w:fill="auto"/>
            <w:noWrap/>
            <w:vAlign w:val="center"/>
            <w:hideMark/>
          </w:tcPr>
          <w:p w14:paraId="27F0EA48" w14:textId="0FA661A3" w:rsidR="0060521B" w:rsidRPr="007F24B9" w:rsidRDefault="00E572BA" w:rsidP="003518AB">
            <w:pPr>
              <w:rPr>
                <w:rFonts w:ascii="Times New Roman" w:eastAsiaTheme="minorEastAsia" w:hAnsi="Times New Roman"/>
                <w:color w:val="000000"/>
                <w:sz w:val="23"/>
                <w:szCs w:val="23"/>
                <w:lang w:eastAsia="ko-KR"/>
              </w:rPr>
            </w:pPr>
            <w:r w:rsidRPr="007F24B9">
              <w:rPr>
                <w:rFonts w:ascii="Times New Roman" w:eastAsiaTheme="minorEastAsia" w:hAnsi="Times New Roman"/>
                <w:color w:val="000000"/>
                <w:sz w:val="23"/>
                <w:szCs w:val="23"/>
                <w:lang w:eastAsia="ko-KR"/>
              </w:rPr>
              <w:t>11-29 minutes</w:t>
            </w:r>
          </w:p>
        </w:tc>
        <w:tc>
          <w:tcPr>
            <w:tcW w:w="1080" w:type="dxa"/>
            <w:tcBorders>
              <w:top w:val="dashSmallGap" w:sz="4" w:space="0" w:color="auto"/>
              <w:bottom w:val="dashSmallGap" w:sz="4" w:space="0" w:color="auto"/>
              <w:right w:val="single" w:sz="12" w:space="0" w:color="auto"/>
            </w:tcBorders>
            <w:shd w:val="clear" w:color="auto" w:fill="auto"/>
            <w:noWrap/>
            <w:hideMark/>
          </w:tcPr>
          <w:p w14:paraId="30362606" w14:textId="77777777" w:rsidR="0060521B" w:rsidRPr="007F24B9" w:rsidRDefault="0060521B" w:rsidP="003518AB">
            <w:pPr>
              <w:jc w:val="right"/>
              <w:rPr>
                <w:rFonts w:ascii="Times New Roman" w:eastAsiaTheme="minorEastAsia" w:hAnsi="Times New Roman"/>
                <w:color w:val="000000"/>
                <w:sz w:val="23"/>
                <w:szCs w:val="23"/>
                <w:lang w:eastAsia="ko-KR"/>
              </w:rPr>
            </w:pPr>
            <w:r w:rsidRPr="007F24B9">
              <w:rPr>
                <w:rFonts w:ascii="Times New Roman" w:eastAsia="Times New Roman" w:hAnsi="Times New Roman"/>
                <w:color w:val="000000"/>
                <w:sz w:val="23"/>
                <w:szCs w:val="23"/>
                <w:lang w:eastAsia="ko-KR"/>
              </w:rPr>
              <w:t>538</w:t>
            </w:r>
          </w:p>
          <w:p w14:paraId="60588CE5" w14:textId="285D77D7" w:rsidR="0060521B" w:rsidRPr="007F24B9" w:rsidRDefault="0060521B" w:rsidP="003518AB">
            <w:pPr>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(39.8%)</w:t>
            </w:r>
          </w:p>
        </w:tc>
        <w:tc>
          <w:tcPr>
            <w:tcW w:w="1998" w:type="dxa"/>
            <w:tcBorders>
              <w:top w:val="dashSmallGap" w:sz="4" w:space="0" w:color="auto"/>
              <w:left w:val="single" w:sz="12" w:space="0" w:color="auto"/>
              <w:bottom w:val="dashSmallGap" w:sz="4" w:space="0" w:color="auto"/>
            </w:tcBorders>
            <w:shd w:val="clear" w:color="auto" w:fill="auto"/>
            <w:noWrap/>
            <w:vAlign w:val="center"/>
            <w:hideMark/>
          </w:tcPr>
          <w:p w14:paraId="402204A2" w14:textId="7AD4C72E" w:rsidR="0060521B" w:rsidRPr="007F24B9" w:rsidRDefault="0060521B" w:rsidP="003518AB">
            <w:pPr>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Rarely</w:t>
            </w:r>
          </w:p>
        </w:tc>
        <w:tc>
          <w:tcPr>
            <w:tcW w:w="1033" w:type="dxa"/>
            <w:tcBorders>
              <w:top w:val="dashSmallGap" w:sz="4" w:space="0" w:color="auto"/>
              <w:bottom w:val="dashSmallGap" w:sz="4" w:space="0" w:color="auto"/>
              <w:right w:val="single" w:sz="18" w:space="0" w:color="auto"/>
            </w:tcBorders>
            <w:shd w:val="clear" w:color="auto" w:fill="auto"/>
            <w:noWrap/>
            <w:hideMark/>
          </w:tcPr>
          <w:p w14:paraId="423C18A9" w14:textId="77777777" w:rsidR="0060521B" w:rsidRPr="007F24B9" w:rsidRDefault="0060521B" w:rsidP="003518AB">
            <w:pPr>
              <w:jc w:val="right"/>
              <w:rPr>
                <w:rFonts w:ascii="Times New Roman" w:eastAsiaTheme="minorEastAsia" w:hAnsi="Times New Roman"/>
                <w:color w:val="000000"/>
                <w:sz w:val="23"/>
                <w:szCs w:val="23"/>
                <w:lang w:eastAsia="ko-KR"/>
              </w:rPr>
            </w:pPr>
            <w:r w:rsidRPr="007F24B9">
              <w:rPr>
                <w:rFonts w:ascii="Times New Roman" w:eastAsia="Times New Roman" w:hAnsi="Times New Roman"/>
                <w:color w:val="000000"/>
                <w:sz w:val="23"/>
                <w:szCs w:val="23"/>
                <w:lang w:eastAsia="ko-KR"/>
              </w:rPr>
              <w:t>437</w:t>
            </w:r>
          </w:p>
          <w:p w14:paraId="741893B7" w14:textId="168AF545" w:rsidR="0060521B" w:rsidRPr="007F24B9" w:rsidRDefault="0060521B" w:rsidP="003518AB">
            <w:pPr>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(32.3%)</w:t>
            </w:r>
          </w:p>
        </w:tc>
      </w:tr>
      <w:tr w:rsidR="0060521B" w:rsidRPr="007F24B9" w14:paraId="4E7588E4" w14:textId="77777777" w:rsidTr="00F424E8">
        <w:trPr>
          <w:trHeight w:val="317"/>
        </w:trPr>
        <w:tc>
          <w:tcPr>
            <w:tcW w:w="1953" w:type="dxa"/>
            <w:tcBorders>
              <w:top w:val="dashSmallGap" w:sz="4" w:space="0" w:color="auto"/>
              <w:left w:val="single" w:sz="18" w:space="0" w:color="auto"/>
              <w:bottom w:val="dashSmallGap" w:sz="4" w:space="0" w:color="auto"/>
            </w:tcBorders>
            <w:shd w:val="clear" w:color="auto" w:fill="auto"/>
            <w:noWrap/>
            <w:vAlign w:val="center"/>
            <w:hideMark/>
          </w:tcPr>
          <w:p w14:paraId="6E639857" w14:textId="5C9021E6" w:rsidR="0060521B" w:rsidRPr="007F24B9" w:rsidRDefault="0060521B" w:rsidP="003518AB">
            <w:pPr>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3-4 days</w:t>
            </w:r>
            <w:r w:rsidRPr="007F24B9">
              <w:rPr>
                <w:rFonts w:ascii="Times New Roman" w:eastAsiaTheme="minorEastAsia" w:hAnsi="Times New Roman" w:hint="eastAsia"/>
                <w:color w:val="000000"/>
                <w:sz w:val="23"/>
                <w:szCs w:val="23"/>
                <w:lang w:eastAsia="ko-KR"/>
              </w:rPr>
              <w:t>/</w:t>
            </w:r>
            <w:r w:rsidRPr="007F24B9">
              <w:rPr>
                <w:rFonts w:ascii="Times New Roman" w:eastAsia="Times New Roman" w:hAnsi="Times New Roman"/>
                <w:color w:val="000000"/>
                <w:sz w:val="23"/>
                <w:szCs w:val="23"/>
                <w:lang w:eastAsia="ko-KR"/>
              </w:rPr>
              <w:t>week</w:t>
            </w:r>
          </w:p>
        </w:tc>
        <w:tc>
          <w:tcPr>
            <w:tcW w:w="1264" w:type="dxa"/>
            <w:tcBorders>
              <w:top w:val="dashSmallGap" w:sz="4" w:space="0" w:color="auto"/>
              <w:bottom w:val="dashSmallGap" w:sz="4" w:space="0" w:color="auto"/>
              <w:right w:val="single" w:sz="12" w:space="0" w:color="auto"/>
            </w:tcBorders>
            <w:shd w:val="clear" w:color="auto" w:fill="auto"/>
            <w:noWrap/>
            <w:hideMark/>
          </w:tcPr>
          <w:p w14:paraId="6F9B109E" w14:textId="77777777" w:rsidR="0060521B" w:rsidRPr="007F24B9" w:rsidRDefault="0060521B" w:rsidP="003518AB">
            <w:pPr>
              <w:jc w:val="right"/>
              <w:rPr>
                <w:rFonts w:ascii="Times New Roman" w:eastAsiaTheme="minorEastAsia" w:hAnsi="Times New Roman"/>
                <w:color w:val="000000"/>
                <w:sz w:val="23"/>
                <w:szCs w:val="23"/>
                <w:lang w:eastAsia="ko-KR"/>
              </w:rPr>
            </w:pPr>
            <w:r w:rsidRPr="007F24B9">
              <w:rPr>
                <w:rFonts w:ascii="Times New Roman" w:eastAsia="Times New Roman" w:hAnsi="Times New Roman"/>
                <w:color w:val="000000"/>
                <w:sz w:val="23"/>
                <w:szCs w:val="23"/>
                <w:lang w:eastAsia="ko-KR"/>
              </w:rPr>
              <w:t>466</w:t>
            </w:r>
          </w:p>
          <w:p w14:paraId="7DD8385D" w14:textId="7BF7C18C" w:rsidR="0060521B" w:rsidRPr="007F24B9" w:rsidRDefault="0060521B" w:rsidP="003518AB">
            <w:pPr>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(27.9%)</w:t>
            </w:r>
          </w:p>
        </w:tc>
        <w:tc>
          <w:tcPr>
            <w:tcW w:w="1980" w:type="dxa"/>
            <w:tcBorders>
              <w:top w:val="dashSmallGap" w:sz="4" w:space="0" w:color="auto"/>
              <w:left w:val="single" w:sz="12" w:space="0" w:color="auto"/>
              <w:bottom w:val="dashSmallGap" w:sz="4" w:space="0" w:color="auto"/>
            </w:tcBorders>
            <w:shd w:val="clear" w:color="auto" w:fill="auto"/>
            <w:noWrap/>
            <w:vAlign w:val="center"/>
            <w:hideMark/>
          </w:tcPr>
          <w:p w14:paraId="6AF7443D" w14:textId="7CFC597E" w:rsidR="0060521B" w:rsidRPr="007F24B9" w:rsidRDefault="00E572BA" w:rsidP="003518AB">
            <w:pPr>
              <w:rPr>
                <w:rFonts w:ascii="Times New Roman" w:eastAsiaTheme="minorEastAsia" w:hAnsi="Times New Roman"/>
                <w:color w:val="000000"/>
                <w:sz w:val="23"/>
                <w:szCs w:val="23"/>
                <w:lang w:eastAsia="ko-KR"/>
              </w:rPr>
            </w:pPr>
            <w:r w:rsidRPr="007F24B9">
              <w:rPr>
                <w:rFonts w:ascii="Times New Roman" w:eastAsiaTheme="minorEastAsia" w:hAnsi="Times New Roman"/>
                <w:color w:val="000000"/>
                <w:sz w:val="23"/>
                <w:szCs w:val="23"/>
                <w:lang w:eastAsia="ko-KR"/>
              </w:rPr>
              <w:t>30-59 minutes</w:t>
            </w:r>
          </w:p>
        </w:tc>
        <w:tc>
          <w:tcPr>
            <w:tcW w:w="1080" w:type="dxa"/>
            <w:tcBorders>
              <w:top w:val="dashSmallGap" w:sz="4" w:space="0" w:color="auto"/>
              <w:bottom w:val="dashSmallGap" w:sz="4" w:space="0" w:color="auto"/>
              <w:right w:val="single" w:sz="12" w:space="0" w:color="auto"/>
            </w:tcBorders>
            <w:shd w:val="clear" w:color="auto" w:fill="auto"/>
            <w:noWrap/>
            <w:hideMark/>
          </w:tcPr>
          <w:p w14:paraId="2673502A" w14:textId="77777777" w:rsidR="0060521B" w:rsidRPr="007F24B9" w:rsidRDefault="0060521B" w:rsidP="003518AB">
            <w:pPr>
              <w:jc w:val="right"/>
              <w:rPr>
                <w:rFonts w:ascii="Times New Roman" w:eastAsiaTheme="minorEastAsia" w:hAnsi="Times New Roman"/>
                <w:color w:val="000000"/>
                <w:sz w:val="23"/>
                <w:szCs w:val="23"/>
                <w:lang w:eastAsia="ko-KR"/>
              </w:rPr>
            </w:pPr>
            <w:r w:rsidRPr="007F24B9">
              <w:rPr>
                <w:rFonts w:ascii="Times New Roman" w:eastAsia="Times New Roman" w:hAnsi="Times New Roman"/>
                <w:color w:val="000000"/>
                <w:sz w:val="23"/>
                <w:szCs w:val="23"/>
                <w:lang w:eastAsia="ko-KR"/>
              </w:rPr>
              <w:t>447</w:t>
            </w:r>
          </w:p>
          <w:p w14:paraId="2B01CD20" w14:textId="30D72DAE" w:rsidR="0060521B" w:rsidRPr="007F24B9" w:rsidRDefault="0060521B" w:rsidP="003518AB">
            <w:pPr>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(33.1%)</w:t>
            </w:r>
          </w:p>
        </w:tc>
        <w:tc>
          <w:tcPr>
            <w:tcW w:w="1998" w:type="dxa"/>
            <w:tcBorders>
              <w:top w:val="dashSmallGap" w:sz="4" w:space="0" w:color="auto"/>
              <w:left w:val="single" w:sz="12" w:space="0" w:color="auto"/>
              <w:bottom w:val="dashSmallGap" w:sz="4" w:space="0" w:color="auto"/>
            </w:tcBorders>
            <w:shd w:val="clear" w:color="auto" w:fill="auto"/>
            <w:noWrap/>
            <w:vAlign w:val="center"/>
            <w:hideMark/>
          </w:tcPr>
          <w:p w14:paraId="7F270CED" w14:textId="635A3710" w:rsidR="0060521B" w:rsidRPr="007F24B9" w:rsidRDefault="0060521B" w:rsidP="003518AB">
            <w:pPr>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Sometimes</w:t>
            </w:r>
          </w:p>
        </w:tc>
        <w:tc>
          <w:tcPr>
            <w:tcW w:w="1033" w:type="dxa"/>
            <w:tcBorders>
              <w:top w:val="dashSmallGap" w:sz="4" w:space="0" w:color="auto"/>
              <w:bottom w:val="dashSmallGap" w:sz="4" w:space="0" w:color="auto"/>
              <w:right w:val="single" w:sz="18" w:space="0" w:color="auto"/>
            </w:tcBorders>
            <w:shd w:val="clear" w:color="auto" w:fill="auto"/>
            <w:noWrap/>
            <w:hideMark/>
          </w:tcPr>
          <w:p w14:paraId="76C05995" w14:textId="77777777" w:rsidR="0060521B" w:rsidRPr="007F24B9" w:rsidRDefault="0060521B" w:rsidP="003518AB">
            <w:pPr>
              <w:jc w:val="right"/>
              <w:rPr>
                <w:rFonts w:ascii="Times New Roman" w:eastAsiaTheme="minorEastAsia" w:hAnsi="Times New Roman"/>
                <w:color w:val="000000"/>
                <w:sz w:val="23"/>
                <w:szCs w:val="23"/>
                <w:lang w:eastAsia="ko-KR"/>
              </w:rPr>
            </w:pPr>
            <w:r w:rsidRPr="007F24B9">
              <w:rPr>
                <w:rFonts w:ascii="Times New Roman" w:eastAsia="Times New Roman" w:hAnsi="Times New Roman"/>
                <w:color w:val="000000"/>
                <w:sz w:val="23"/>
                <w:szCs w:val="23"/>
                <w:lang w:eastAsia="ko-KR"/>
              </w:rPr>
              <w:t>441</w:t>
            </w:r>
          </w:p>
          <w:p w14:paraId="1827EB2B" w14:textId="4C39A13D" w:rsidR="0060521B" w:rsidRPr="007F24B9" w:rsidRDefault="0060521B" w:rsidP="003518AB">
            <w:pPr>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(32.6%)</w:t>
            </w:r>
          </w:p>
        </w:tc>
      </w:tr>
      <w:tr w:rsidR="0060521B" w:rsidRPr="007F24B9" w14:paraId="5EC2F589" w14:textId="77777777" w:rsidTr="00F424E8">
        <w:trPr>
          <w:trHeight w:val="317"/>
        </w:trPr>
        <w:tc>
          <w:tcPr>
            <w:tcW w:w="1953" w:type="dxa"/>
            <w:tcBorders>
              <w:top w:val="dashSmallGap" w:sz="4" w:space="0" w:color="auto"/>
              <w:left w:val="single" w:sz="18" w:space="0" w:color="auto"/>
              <w:bottom w:val="dashSmallGap" w:sz="4" w:space="0" w:color="auto"/>
            </w:tcBorders>
            <w:shd w:val="clear" w:color="auto" w:fill="auto"/>
            <w:noWrap/>
            <w:vAlign w:val="center"/>
            <w:hideMark/>
          </w:tcPr>
          <w:p w14:paraId="0E117C7B" w14:textId="76DCADA5" w:rsidR="0060521B" w:rsidRPr="007F24B9" w:rsidRDefault="0060521B" w:rsidP="003518AB">
            <w:pPr>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5-6 days</w:t>
            </w:r>
            <w:r w:rsidRPr="007F24B9">
              <w:rPr>
                <w:rFonts w:ascii="Times New Roman" w:eastAsiaTheme="minorEastAsia" w:hAnsi="Times New Roman" w:hint="eastAsia"/>
                <w:color w:val="000000"/>
                <w:sz w:val="23"/>
                <w:szCs w:val="23"/>
                <w:lang w:eastAsia="ko-KR"/>
              </w:rPr>
              <w:t>/</w:t>
            </w:r>
            <w:r w:rsidRPr="007F24B9">
              <w:rPr>
                <w:rFonts w:ascii="Times New Roman" w:eastAsia="Times New Roman" w:hAnsi="Times New Roman"/>
                <w:color w:val="000000"/>
                <w:sz w:val="23"/>
                <w:szCs w:val="23"/>
                <w:lang w:eastAsia="ko-KR"/>
              </w:rPr>
              <w:t>week</w:t>
            </w:r>
          </w:p>
        </w:tc>
        <w:tc>
          <w:tcPr>
            <w:tcW w:w="1264" w:type="dxa"/>
            <w:tcBorders>
              <w:top w:val="dashSmallGap" w:sz="4" w:space="0" w:color="auto"/>
              <w:bottom w:val="dashSmallGap" w:sz="4" w:space="0" w:color="auto"/>
              <w:right w:val="single" w:sz="12" w:space="0" w:color="auto"/>
            </w:tcBorders>
            <w:shd w:val="clear" w:color="auto" w:fill="auto"/>
            <w:noWrap/>
            <w:hideMark/>
          </w:tcPr>
          <w:p w14:paraId="74FF0B54" w14:textId="77777777" w:rsidR="0060521B" w:rsidRPr="007F24B9" w:rsidRDefault="0060521B" w:rsidP="003518AB">
            <w:pPr>
              <w:jc w:val="right"/>
              <w:rPr>
                <w:rFonts w:ascii="Times New Roman" w:eastAsiaTheme="minorEastAsia" w:hAnsi="Times New Roman"/>
                <w:color w:val="000000"/>
                <w:sz w:val="23"/>
                <w:szCs w:val="23"/>
                <w:lang w:eastAsia="ko-KR"/>
              </w:rPr>
            </w:pPr>
            <w:r w:rsidRPr="007F24B9">
              <w:rPr>
                <w:rFonts w:ascii="Times New Roman" w:eastAsia="Times New Roman" w:hAnsi="Times New Roman"/>
                <w:color w:val="000000"/>
                <w:sz w:val="23"/>
                <w:szCs w:val="23"/>
                <w:lang w:eastAsia="ko-KR"/>
              </w:rPr>
              <w:t>353</w:t>
            </w:r>
          </w:p>
          <w:p w14:paraId="4FE13281" w14:textId="2AD97F8D" w:rsidR="0060521B" w:rsidRPr="007F24B9" w:rsidRDefault="0060521B" w:rsidP="003518AB">
            <w:pPr>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(21.2%)</w:t>
            </w:r>
          </w:p>
        </w:tc>
        <w:tc>
          <w:tcPr>
            <w:tcW w:w="1980" w:type="dxa"/>
            <w:tcBorders>
              <w:top w:val="dashSmallGap" w:sz="4" w:space="0" w:color="auto"/>
              <w:left w:val="single" w:sz="12" w:space="0" w:color="auto"/>
              <w:bottom w:val="dashSmallGap" w:sz="4" w:space="0" w:color="auto"/>
            </w:tcBorders>
            <w:shd w:val="clear" w:color="auto" w:fill="auto"/>
            <w:noWrap/>
            <w:vAlign w:val="center"/>
            <w:hideMark/>
          </w:tcPr>
          <w:p w14:paraId="0D5B6512" w14:textId="05CDA020" w:rsidR="0060521B" w:rsidRPr="007F24B9" w:rsidRDefault="0060521B" w:rsidP="003518AB">
            <w:pPr>
              <w:rPr>
                <w:rFonts w:ascii="Times New Roman" w:eastAsiaTheme="minorEastAsia" w:hAnsi="Times New Roman"/>
                <w:color w:val="000000"/>
                <w:sz w:val="23"/>
                <w:szCs w:val="23"/>
                <w:lang w:eastAsia="ko-KR"/>
              </w:rPr>
            </w:pPr>
            <w:r w:rsidRPr="007F24B9">
              <w:rPr>
                <w:rFonts w:ascii="Times New Roman" w:eastAsia="Times New Roman" w:hAnsi="Times New Roman"/>
                <w:color w:val="000000"/>
                <w:sz w:val="23"/>
                <w:szCs w:val="23"/>
                <w:lang w:eastAsia="ko-KR"/>
              </w:rPr>
              <w:t>60</w:t>
            </w:r>
            <w:r w:rsidR="00B3728A" w:rsidRPr="007F24B9">
              <w:rPr>
                <w:rFonts w:ascii="Times New Roman" w:eastAsiaTheme="minorEastAsia" w:hAnsi="Times New Roman" w:hint="eastAsia"/>
                <w:color w:val="000000"/>
                <w:sz w:val="23"/>
                <w:szCs w:val="23"/>
                <w:lang w:eastAsia="ko-KR"/>
              </w:rPr>
              <w:t xml:space="preserve"> </w:t>
            </w:r>
            <w:r w:rsidRPr="007F24B9">
              <w:rPr>
                <w:rFonts w:ascii="Times New Roman" w:eastAsia="Times New Roman" w:hAnsi="Times New Roman"/>
                <w:color w:val="000000"/>
                <w:sz w:val="23"/>
                <w:szCs w:val="23"/>
                <w:lang w:eastAsia="ko-KR"/>
              </w:rPr>
              <w:t>or more</w:t>
            </w:r>
            <w:r w:rsidR="00E572BA" w:rsidRPr="007F24B9">
              <w:rPr>
                <w:rFonts w:ascii="Times New Roman" w:eastAsia="Times New Roman" w:hAnsi="Times New Roman"/>
                <w:color w:val="000000"/>
                <w:sz w:val="23"/>
                <w:szCs w:val="23"/>
                <w:lang w:eastAsia="ko-KR"/>
              </w:rPr>
              <w:t xml:space="preserve"> minutes</w:t>
            </w:r>
            <w:r w:rsidRPr="007F24B9">
              <w:rPr>
                <w:rFonts w:ascii="Times New Roman" w:eastAsia="Times New Roman" w:hAnsi="Times New Roman"/>
                <w:color w:val="000000"/>
                <w:sz w:val="23"/>
                <w:szCs w:val="23"/>
                <w:lang w:eastAsia="ko-KR"/>
              </w:rPr>
              <w:t xml:space="preserve"> </w:t>
            </w:r>
          </w:p>
        </w:tc>
        <w:tc>
          <w:tcPr>
            <w:tcW w:w="1080" w:type="dxa"/>
            <w:tcBorders>
              <w:top w:val="dashSmallGap" w:sz="4" w:space="0" w:color="auto"/>
              <w:bottom w:val="dashSmallGap" w:sz="4" w:space="0" w:color="auto"/>
              <w:right w:val="single" w:sz="12" w:space="0" w:color="auto"/>
            </w:tcBorders>
            <w:shd w:val="clear" w:color="auto" w:fill="auto"/>
            <w:noWrap/>
            <w:hideMark/>
          </w:tcPr>
          <w:p w14:paraId="066CBF55" w14:textId="77777777" w:rsidR="0060521B" w:rsidRPr="007F24B9" w:rsidRDefault="0060521B" w:rsidP="003518AB">
            <w:pPr>
              <w:jc w:val="right"/>
              <w:rPr>
                <w:rFonts w:ascii="Times New Roman" w:eastAsiaTheme="minorEastAsia" w:hAnsi="Times New Roman"/>
                <w:color w:val="000000"/>
                <w:sz w:val="23"/>
                <w:szCs w:val="23"/>
                <w:lang w:eastAsia="ko-KR"/>
              </w:rPr>
            </w:pPr>
            <w:r w:rsidRPr="007F24B9">
              <w:rPr>
                <w:rFonts w:ascii="Times New Roman" w:eastAsia="Times New Roman" w:hAnsi="Times New Roman"/>
                <w:color w:val="000000"/>
                <w:sz w:val="23"/>
                <w:szCs w:val="23"/>
                <w:lang w:eastAsia="ko-KR"/>
              </w:rPr>
              <w:t>208</w:t>
            </w:r>
          </w:p>
          <w:p w14:paraId="06410DBA" w14:textId="14F4C904" w:rsidR="0060521B" w:rsidRPr="007F24B9" w:rsidRDefault="0060521B" w:rsidP="003518AB">
            <w:pPr>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(15.4%)</w:t>
            </w:r>
          </w:p>
        </w:tc>
        <w:tc>
          <w:tcPr>
            <w:tcW w:w="1998" w:type="dxa"/>
            <w:tcBorders>
              <w:top w:val="dashSmallGap" w:sz="4" w:space="0" w:color="auto"/>
              <w:left w:val="single" w:sz="12" w:space="0" w:color="auto"/>
              <w:bottom w:val="dashSmallGap" w:sz="4" w:space="0" w:color="auto"/>
            </w:tcBorders>
            <w:shd w:val="clear" w:color="auto" w:fill="auto"/>
            <w:noWrap/>
            <w:vAlign w:val="center"/>
            <w:hideMark/>
          </w:tcPr>
          <w:p w14:paraId="08B8562A" w14:textId="5DFD4AD7" w:rsidR="0060521B" w:rsidRPr="007F24B9" w:rsidRDefault="0060521B" w:rsidP="003518AB">
            <w:pPr>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Often</w:t>
            </w:r>
          </w:p>
        </w:tc>
        <w:tc>
          <w:tcPr>
            <w:tcW w:w="1033" w:type="dxa"/>
            <w:tcBorders>
              <w:top w:val="dashSmallGap" w:sz="4" w:space="0" w:color="auto"/>
              <w:bottom w:val="dashSmallGap" w:sz="4" w:space="0" w:color="auto"/>
              <w:right w:val="single" w:sz="18" w:space="0" w:color="auto"/>
            </w:tcBorders>
            <w:shd w:val="clear" w:color="auto" w:fill="auto"/>
            <w:noWrap/>
            <w:hideMark/>
          </w:tcPr>
          <w:p w14:paraId="3AD7754B" w14:textId="77777777" w:rsidR="0060521B" w:rsidRPr="007F24B9" w:rsidRDefault="0060521B" w:rsidP="003518AB">
            <w:pPr>
              <w:jc w:val="right"/>
              <w:rPr>
                <w:rFonts w:ascii="Times New Roman" w:eastAsiaTheme="minorEastAsia" w:hAnsi="Times New Roman"/>
                <w:color w:val="000000"/>
                <w:sz w:val="23"/>
                <w:szCs w:val="23"/>
                <w:lang w:eastAsia="ko-KR"/>
              </w:rPr>
            </w:pPr>
            <w:r w:rsidRPr="007F24B9">
              <w:rPr>
                <w:rFonts w:ascii="Times New Roman" w:eastAsia="Times New Roman" w:hAnsi="Times New Roman"/>
                <w:color w:val="000000"/>
                <w:sz w:val="23"/>
                <w:szCs w:val="23"/>
                <w:lang w:eastAsia="ko-KR"/>
              </w:rPr>
              <w:t>222</w:t>
            </w:r>
          </w:p>
          <w:p w14:paraId="22CE4893" w14:textId="76BB8640" w:rsidR="0060521B" w:rsidRPr="007F24B9" w:rsidRDefault="0060521B" w:rsidP="003518AB">
            <w:pPr>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(16.4%)</w:t>
            </w:r>
          </w:p>
        </w:tc>
      </w:tr>
      <w:tr w:rsidR="0060521B" w:rsidRPr="007F24B9" w14:paraId="4CF11974" w14:textId="77777777" w:rsidTr="00F424E8">
        <w:trPr>
          <w:trHeight w:val="317"/>
        </w:trPr>
        <w:tc>
          <w:tcPr>
            <w:tcW w:w="1953" w:type="dxa"/>
            <w:tcBorders>
              <w:top w:val="dashSmallGap" w:sz="4" w:space="0" w:color="auto"/>
              <w:left w:val="single" w:sz="18" w:space="0" w:color="auto"/>
              <w:bottom w:val="single" w:sz="18" w:space="0" w:color="auto"/>
            </w:tcBorders>
            <w:shd w:val="clear" w:color="auto" w:fill="auto"/>
            <w:noWrap/>
            <w:vAlign w:val="center"/>
            <w:hideMark/>
          </w:tcPr>
          <w:p w14:paraId="78526334" w14:textId="37A2D552" w:rsidR="0060521B" w:rsidRPr="007F24B9" w:rsidRDefault="0060521B" w:rsidP="003518AB">
            <w:pPr>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7 days</w:t>
            </w:r>
            <w:r w:rsidRPr="007F24B9">
              <w:rPr>
                <w:rFonts w:ascii="Times New Roman" w:eastAsiaTheme="minorEastAsia" w:hAnsi="Times New Roman" w:hint="eastAsia"/>
                <w:color w:val="000000"/>
                <w:sz w:val="23"/>
                <w:szCs w:val="23"/>
                <w:lang w:eastAsia="ko-KR"/>
              </w:rPr>
              <w:t>/</w:t>
            </w:r>
            <w:r w:rsidRPr="007F24B9">
              <w:rPr>
                <w:rFonts w:ascii="Times New Roman" w:eastAsia="Times New Roman" w:hAnsi="Times New Roman"/>
                <w:color w:val="000000"/>
                <w:sz w:val="23"/>
                <w:szCs w:val="23"/>
                <w:lang w:eastAsia="ko-KR"/>
              </w:rPr>
              <w:t>week</w:t>
            </w:r>
          </w:p>
        </w:tc>
        <w:tc>
          <w:tcPr>
            <w:tcW w:w="1264" w:type="dxa"/>
            <w:tcBorders>
              <w:top w:val="dashSmallGap" w:sz="4" w:space="0" w:color="auto"/>
              <w:bottom w:val="single" w:sz="18" w:space="0" w:color="auto"/>
              <w:right w:val="single" w:sz="12" w:space="0" w:color="auto"/>
            </w:tcBorders>
            <w:shd w:val="clear" w:color="auto" w:fill="auto"/>
            <w:noWrap/>
            <w:hideMark/>
          </w:tcPr>
          <w:p w14:paraId="18818EC6" w14:textId="77777777" w:rsidR="0060521B" w:rsidRPr="007F24B9" w:rsidRDefault="0060521B" w:rsidP="003518AB">
            <w:pPr>
              <w:jc w:val="right"/>
              <w:rPr>
                <w:rFonts w:ascii="Times New Roman" w:eastAsiaTheme="minorEastAsia" w:hAnsi="Times New Roman"/>
                <w:color w:val="000000"/>
                <w:sz w:val="23"/>
                <w:szCs w:val="23"/>
                <w:lang w:eastAsia="ko-KR"/>
              </w:rPr>
            </w:pPr>
            <w:r w:rsidRPr="007F24B9">
              <w:rPr>
                <w:rFonts w:ascii="Times New Roman" w:eastAsia="Times New Roman" w:hAnsi="Times New Roman"/>
                <w:color w:val="000000"/>
                <w:sz w:val="23"/>
                <w:szCs w:val="23"/>
                <w:lang w:eastAsia="ko-KR"/>
              </w:rPr>
              <w:t>248</w:t>
            </w:r>
          </w:p>
          <w:p w14:paraId="0BB4CB50" w14:textId="77627DD0" w:rsidR="0060521B" w:rsidRPr="007F24B9" w:rsidRDefault="0060521B" w:rsidP="003518AB">
            <w:pPr>
              <w:jc w:val="right"/>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(14.9%)</w:t>
            </w:r>
          </w:p>
        </w:tc>
        <w:tc>
          <w:tcPr>
            <w:tcW w:w="1980" w:type="dxa"/>
            <w:tcBorders>
              <w:top w:val="dashSmallGap" w:sz="4" w:space="0" w:color="auto"/>
              <w:left w:val="single" w:sz="12" w:space="0" w:color="auto"/>
              <w:bottom w:val="single" w:sz="18" w:space="0" w:color="auto"/>
            </w:tcBorders>
            <w:shd w:val="clear" w:color="auto" w:fill="auto"/>
            <w:noWrap/>
            <w:hideMark/>
          </w:tcPr>
          <w:p w14:paraId="31E874A2" w14:textId="33FB7358" w:rsidR="0060521B" w:rsidRPr="007F24B9" w:rsidRDefault="0060521B" w:rsidP="003518AB">
            <w:pPr>
              <w:rPr>
                <w:rFonts w:ascii="Times New Roman" w:eastAsia="Times New Roman" w:hAnsi="Times New Roman"/>
                <w:color w:val="000000"/>
                <w:sz w:val="23"/>
                <w:szCs w:val="23"/>
                <w:lang w:eastAsia="ko-KR"/>
              </w:rPr>
            </w:pPr>
          </w:p>
        </w:tc>
        <w:tc>
          <w:tcPr>
            <w:tcW w:w="1080" w:type="dxa"/>
            <w:tcBorders>
              <w:top w:val="dashSmallGap" w:sz="4" w:space="0" w:color="auto"/>
              <w:bottom w:val="single" w:sz="18" w:space="0" w:color="auto"/>
              <w:right w:val="single" w:sz="12" w:space="0" w:color="auto"/>
            </w:tcBorders>
            <w:shd w:val="clear" w:color="auto" w:fill="auto"/>
            <w:noWrap/>
            <w:hideMark/>
          </w:tcPr>
          <w:p w14:paraId="3DCF4A03" w14:textId="1CE42BFC" w:rsidR="0060521B" w:rsidRPr="007F24B9" w:rsidRDefault="0060521B" w:rsidP="003518AB">
            <w:pPr>
              <w:jc w:val="right"/>
              <w:rPr>
                <w:rFonts w:ascii="Times New Roman" w:eastAsia="Times New Roman" w:hAnsi="Times New Roman"/>
                <w:color w:val="000000"/>
                <w:sz w:val="23"/>
                <w:szCs w:val="23"/>
                <w:lang w:eastAsia="ko-KR"/>
              </w:rPr>
            </w:pPr>
          </w:p>
        </w:tc>
        <w:tc>
          <w:tcPr>
            <w:tcW w:w="1998" w:type="dxa"/>
            <w:tcBorders>
              <w:top w:val="dashSmallGap" w:sz="4" w:space="0" w:color="auto"/>
              <w:left w:val="single" w:sz="12" w:space="0" w:color="auto"/>
              <w:bottom w:val="single" w:sz="18" w:space="0" w:color="auto"/>
            </w:tcBorders>
            <w:shd w:val="clear" w:color="auto" w:fill="auto"/>
            <w:noWrap/>
            <w:vAlign w:val="center"/>
            <w:hideMark/>
          </w:tcPr>
          <w:p w14:paraId="545722CA" w14:textId="592CFD4F" w:rsidR="0060521B" w:rsidRPr="007F24B9" w:rsidRDefault="0060521B" w:rsidP="003518AB">
            <w:pPr>
              <w:rPr>
                <w:rFonts w:ascii="Times New Roman" w:eastAsia="Times New Roman" w:hAnsi="Times New Roman"/>
                <w:color w:val="000000"/>
                <w:sz w:val="23"/>
                <w:szCs w:val="23"/>
                <w:lang w:eastAsia="ko-KR"/>
              </w:rPr>
            </w:pPr>
            <w:r w:rsidRPr="007F24B9">
              <w:rPr>
                <w:rFonts w:ascii="Times New Roman" w:eastAsia="Times New Roman" w:hAnsi="Times New Roman"/>
                <w:color w:val="000000"/>
                <w:sz w:val="23"/>
                <w:szCs w:val="23"/>
                <w:lang w:eastAsia="ko-KR"/>
              </w:rPr>
              <w:t>Always</w:t>
            </w:r>
          </w:p>
        </w:tc>
        <w:tc>
          <w:tcPr>
            <w:tcW w:w="1033" w:type="dxa"/>
            <w:tcBorders>
              <w:top w:val="dashSmallGap" w:sz="4" w:space="0" w:color="auto"/>
              <w:bottom w:val="single" w:sz="18" w:space="0" w:color="auto"/>
              <w:right w:val="single" w:sz="18" w:space="0" w:color="auto"/>
            </w:tcBorders>
            <w:shd w:val="clear" w:color="auto" w:fill="auto"/>
            <w:noWrap/>
            <w:hideMark/>
          </w:tcPr>
          <w:p w14:paraId="131A3472" w14:textId="77777777" w:rsidR="0060521B" w:rsidRPr="007F24B9" w:rsidRDefault="0060521B" w:rsidP="003518AB">
            <w:pPr>
              <w:jc w:val="right"/>
              <w:rPr>
                <w:rFonts w:ascii="Times New Roman" w:eastAsiaTheme="minorEastAsia" w:hAnsi="Times New Roman"/>
                <w:color w:val="000000"/>
                <w:sz w:val="23"/>
                <w:szCs w:val="23"/>
                <w:lang w:eastAsia="ko-KR"/>
              </w:rPr>
            </w:pPr>
            <w:r w:rsidRPr="007F24B9">
              <w:rPr>
                <w:rFonts w:ascii="Times New Roman" w:eastAsia="Times New Roman" w:hAnsi="Times New Roman"/>
                <w:color w:val="000000"/>
                <w:sz w:val="23"/>
                <w:szCs w:val="23"/>
                <w:lang w:eastAsia="ko-KR"/>
              </w:rPr>
              <w:t>92</w:t>
            </w:r>
          </w:p>
          <w:p w14:paraId="2DDE8716" w14:textId="6F5AC22B" w:rsidR="0060521B" w:rsidRPr="007F24B9" w:rsidRDefault="0060521B" w:rsidP="003518AB">
            <w:pPr>
              <w:jc w:val="right"/>
              <w:rPr>
                <w:rFonts w:ascii="Times New Roman" w:eastAsia="Times New Roman" w:hAnsi="Times New Roman"/>
                <w:sz w:val="23"/>
                <w:szCs w:val="23"/>
                <w:lang w:eastAsia="ko-KR"/>
              </w:rPr>
            </w:pPr>
            <w:r w:rsidRPr="007F24B9">
              <w:rPr>
                <w:rFonts w:ascii="Times New Roman" w:eastAsia="Times New Roman" w:hAnsi="Times New Roman"/>
                <w:color w:val="000000"/>
                <w:sz w:val="23"/>
                <w:szCs w:val="23"/>
                <w:lang w:eastAsia="ko-KR"/>
              </w:rPr>
              <w:t>(6.8%)</w:t>
            </w:r>
          </w:p>
        </w:tc>
      </w:tr>
    </w:tbl>
    <w:p w14:paraId="40D0AACB" w14:textId="77777777" w:rsidR="00BF4EDE" w:rsidRDefault="00BF4EDE" w:rsidP="003518AB">
      <w:pPr>
        <w:rPr>
          <w:rFonts w:eastAsiaTheme="minorEastAsia"/>
          <w:lang w:eastAsia="ko-KR"/>
        </w:rPr>
      </w:pPr>
    </w:p>
    <w:p w14:paraId="32549122" w14:textId="00091F04" w:rsidR="0060521B" w:rsidRDefault="000E0D83" w:rsidP="000D4062">
      <w:pPr>
        <w:pStyle w:val="Heading2"/>
        <w:spacing w:line="240" w:lineRule="auto"/>
        <w:ind w:hanging="540"/>
        <w:contextualSpacing w:val="0"/>
        <w:rPr>
          <w:lang w:eastAsia="ko-KR"/>
        </w:rPr>
      </w:pPr>
      <w:r>
        <w:rPr>
          <w:lang w:eastAsia="ko-KR"/>
        </w:rPr>
        <w:t>Mathematical Formulation</w:t>
      </w:r>
    </w:p>
    <w:p w14:paraId="18E11208" w14:textId="12A3DA25" w:rsidR="00D92A43" w:rsidRDefault="00D92A43" w:rsidP="003518AB">
      <w:pPr>
        <w:jc w:val="both"/>
        <w:rPr>
          <w:rFonts w:eastAsiaTheme="minorEastAsia"/>
          <w:lang w:eastAsia="ko-KR"/>
        </w:rPr>
      </w:pPr>
      <w:r w:rsidRPr="0012309F">
        <w:rPr>
          <w:rFonts w:eastAsiaTheme="minorEastAsia"/>
          <w:lang w:eastAsia="ko-KR"/>
        </w:rPr>
        <w:t>To</w:t>
      </w:r>
      <w:r>
        <w:rPr>
          <w:rFonts w:eastAsiaTheme="minorEastAsia"/>
          <w:lang w:eastAsia="ko-KR"/>
        </w:rPr>
        <w:t xml:space="preserve"> </w:t>
      </w:r>
      <w:r w:rsidRPr="0012309F">
        <w:rPr>
          <w:rFonts w:eastAsiaTheme="minorEastAsia"/>
          <w:lang w:eastAsia="ko-KR"/>
        </w:rPr>
        <w:t>account for potential interdependencies among the different dimensions of walking behavior</w:t>
      </w:r>
      <w:r>
        <w:rPr>
          <w:rFonts w:eastAsiaTheme="minorEastAsia"/>
          <w:lang w:eastAsia="ko-KR"/>
        </w:rPr>
        <w:t xml:space="preserve">, </w:t>
      </w:r>
      <w:r w:rsidRPr="0012309F">
        <w:rPr>
          <w:rFonts w:eastAsiaTheme="minorEastAsia"/>
          <w:lang w:eastAsia="ko-KR"/>
        </w:rPr>
        <w:t xml:space="preserve">we employ a multivariate </w:t>
      </w:r>
      <w:r>
        <w:rPr>
          <w:rFonts w:eastAsiaTheme="minorEastAsia"/>
          <w:lang w:eastAsia="ko-KR"/>
        </w:rPr>
        <w:t xml:space="preserve">modeling </w:t>
      </w:r>
      <w:r w:rsidRPr="0012309F">
        <w:rPr>
          <w:rFonts w:eastAsiaTheme="minorEastAsia"/>
          <w:lang w:eastAsia="ko-KR"/>
        </w:rPr>
        <w:t xml:space="preserve">approach. For walking frequency and companionship, ordered-response </w:t>
      </w:r>
      <w:proofErr w:type="spellStart"/>
      <w:r w:rsidRPr="0012309F">
        <w:rPr>
          <w:rFonts w:eastAsiaTheme="minorEastAsia"/>
          <w:lang w:eastAsia="ko-KR"/>
        </w:rPr>
        <w:t>probit</w:t>
      </w:r>
      <w:proofErr w:type="spellEnd"/>
      <w:r w:rsidRPr="0012309F">
        <w:rPr>
          <w:rFonts w:eastAsiaTheme="minorEastAsia"/>
          <w:lang w:eastAsia="ko-KR"/>
        </w:rPr>
        <w:t xml:space="preserve"> models are used, which assume flexible thresholds and latent variables without direct physical interpretations</w:t>
      </w:r>
      <w:r w:rsidR="00CD221C">
        <w:rPr>
          <w:rFonts w:eastAsiaTheme="minorEastAsia"/>
          <w:lang w:eastAsia="ko-KR"/>
        </w:rPr>
        <w:t xml:space="preserve"> of the underlying latent variables</w:t>
      </w:r>
      <w:r w:rsidRPr="0012309F">
        <w:rPr>
          <w:rFonts w:eastAsiaTheme="minorEastAsia"/>
          <w:lang w:eastAsia="ko-KR"/>
        </w:rPr>
        <w:t xml:space="preserve">. </w:t>
      </w:r>
      <w:r>
        <w:rPr>
          <w:rFonts w:eastAsiaTheme="minorEastAsia"/>
          <w:lang w:eastAsia="ko-KR"/>
        </w:rPr>
        <w:t>However, w</w:t>
      </w:r>
      <w:r w:rsidRPr="00673151">
        <w:rPr>
          <w:rFonts w:eastAsiaTheme="minorEastAsia"/>
          <w:lang w:eastAsia="ko-KR"/>
        </w:rPr>
        <w:t>alking duration is treated differently from the other two outcomes</w:t>
      </w:r>
      <w:r w:rsidR="00CD221C">
        <w:rPr>
          <w:rFonts w:eastAsiaTheme="minorEastAsia"/>
          <w:lang w:eastAsia="ko-KR"/>
        </w:rPr>
        <w:t>,</w:t>
      </w:r>
      <w:r w:rsidRPr="00673151">
        <w:rPr>
          <w:rFonts w:eastAsiaTheme="minorEastAsia"/>
          <w:lang w:eastAsia="ko-KR"/>
        </w:rPr>
        <w:t xml:space="preserve"> because it is a continuous variable measured in</w:t>
      </w:r>
      <w:r w:rsidR="0006405F">
        <w:rPr>
          <w:rFonts w:eastAsiaTheme="minorEastAsia"/>
          <w:lang w:eastAsia="ko-KR"/>
        </w:rPr>
        <w:t xml:space="preserve"> </w:t>
      </w:r>
      <w:r w:rsidRPr="00673151">
        <w:rPr>
          <w:rFonts w:eastAsiaTheme="minorEastAsia"/>
          <w:lang w:eastAsia="ko-KR"/>
        </w:rPr>
        <w:t>grouped form</w:t>
      </w:r>
      <w:r>
        <w:rPr>
          <w:rFonts w:eastAsiaTheme="minorEastAsia"/>
          <w:lang w:eastAsia="ko-KR"/>
        </w:rPr>
        <w:t xml:space="preserve">. </w:t>
      </w:r>
      <w:r w:rsidRPr="00A72497">
        <w:rPr>
          <w:rFonts w:eastAsiaTheme="minorEastAsia"/>
          <w:lang w:eastAsia="ko-KR"/>
        </w:rPr>
        <w:t>Thus, for duration</w:t>
      </w:r>
      <w:r>
        <w:rPr>
          <w:rFonts w:eastAsiaTheme="minorEastAsia" w:hint="eastAsia"/>
          <w:lang w:eastAsia="ko-KR"/>
        </w:rPr>
        <w:t xml:space="preserve">, </w:t>
      </w:r>
      <w:r w:rsidRPr="0012309F">
        <w:rPr>
          <w:rFonts w:eastAsiaTheme="minorEastAsia"/>
          <w:lang w:eastAsia="ko-KR"/>
        </w:rPr>
        <w:t xml:space="preserve">we apply a grouped continuous model with fixed thresholds using an unobserved </w:t>
      </w:r>
      <w:r w:rsidR="00A25A64">
        <w:rPr>
          <w:rFonts w:eastAsiaTheme="minorEastAsia"/>
          <w:lang w:eastAsia="ko-KR"/>
        </w:rPr>
        <w:t xml:space="preserve">underlying </w:t>
      </w:r>
      <w:r w:rsidRPr="0012309F">
        <w:rPr>
          <w:rFonts w:eastAsiaTheme="minorEastAsia"/>
          <w:lang w:eastAsia="ko-KR"/>
        </w:rPr>
        <w:t xml:space="preserve">latent variable that represents the individual's </w:t>
      </w:r>
      <w:r w:rsidR="00A25A64">
        <w:rPr>
          <w:rFonts w:eastAsiaTheme="minorEastAsia"/>
          <w:lang w:eastAsia="ko-KR"/>
        </w:rPr>
        <w:t xml:space="preserve">continuous </w:t>
      </w:r>
      <w:r w:rsidRPr="0012309F">
        <w:rPr>
          <w:rFonts w:eastAsiaTheme="minorEastAsia"/>
          <w:lang w:eastAsia="ko-KR"/>
        </w:rPr>
        <w:t>walking duration</w:t>
      </w:r>
      <w:r w:rsidR="00A25A64">
        <w:rPr>
          <w:rFonts w:eastAsiaTheme="minorEastAsia"/>
          <w:lang w:eastAsia="ko-KR"/>
        </w:rPr>
        <w:t>.</w:t>
      </w:r>
      <w:r w:rsidRPr="0012309F">
        <w:t xml:space="preserve"> </w:t>
      </w:r>
      <w:r w:rsidR="00F86AAD">
        <w:t xml:space="preserve">Note, however, that because we assume a normal distribution for the error term in the grouped model, the unobserved underlying latent variable is considered as ln(walking duration), so that it can range over the entire real line. </w:t>
      </w:r>
      <w:r w:rsidR="00C037D9">
        <w:t xml:space="preserve">This also assures that predictions of the continuous walking duration will always be positive. </w:t>
      </w:r>
    </w:p>
    <w:p w14:paraId="0D7D8CC9" w14:textId="70617994" w:rsidR="00D92A43" w:rsidRDefault="005C237C" w:rsidP="003518AB">
      <w:pPr>
        <w:ind w:firstLine="720"/>
        <w:jc w:val="both"/>
        <w:rPr>
          <w:rFonts w:eastAsiaTheme="minorEastAsia"/>
          <w:lang w:eastAsia="ko-KR"/>
        </w:rPr>
      </w:pPr>
      <w:r>
        <w:rPr>
          <w:rFonts w:eastAsiaTheme="minorEastAsia"/>
          <w:lang w:eastAsia="ko-KR"/>
        </w:rPr>
        <w:lastRenderedPageBreak/>
        <w:t xml:space="preserve">In the </w:t>
      </w:r>
      <w:r w:rsidRPr="00587212">
        <w:rPr>
          <w:rFonts w:eastAsiaTheme="minorEastAsia"/>
          <w:lang w:eastAsia="ko-KR"/>
        </w:rPr>
        <w:t xml:space="preserve">following presentation, we suppress the notation </w:t>
      </w:r>
      <w:r w:rsidRPr="00587212">
        <w:rPr>
          <w:rFonts w:eastAsiaTheme="minorEastAsia"/>
          <w:i/>
          <w:iCs/>
          <w:lang w:eastAsia="ko-KR"/>
        </w:rPr>
        <w:t>q</w:t>
      </w:r>
      <w:r w:rsidRPr="00587212">
        <w:rPr>
          <w:rFonts w:eastAsiaTheme="minorEastAsia"/>
          <w:lang w:eastAsia="ko-KR"/>
        </w:rPr>
        <w:t xml:space="preserve"> for individuals, and derive the likelihood contribution for each individual </w:t>
      </w:r>
      <w:r w:rsidRPr="00587212">
        <w:rPr>
          <w:rFonts w:eastAsiaTheme="minorEastAsia"/>
          <w:i/>
          <w:iCs/>
          <w:lang w:eastAsia="ko-KR"/>
        </w:rPr>
        <w:t>q</w:t>
      </w:r>
      <w:r w:rsidRPr="00587212">
        <w:rPr>
          <w:rFonts w:eastAsiaTheme="minorEastAsia"/>
          <w:lang w:eastAsia="ko-KR"/>
        </w:rPr>
        <w:t xml:space="preserve">. </w:t>
      </w:r>
      <w:r w:rsidR="00143523" w:rsidRPr="00587212">
        <w:rPr>
          <w:rFonts w:eastAsiaTheme="minorEastAsia"/>
          <w:lang w:eastAsia="ko-KR"/>
        </w:rPr>
        <w:t xml:space="preserve">Also, we develop the estimation procedure for the case when all three outcomes are available. In cases where respondents indicated that </w:t>
      </w:r>
      <w:r w:rsidR="00143523" w:rsidRPr="00587212">
        <w:rPr>
          <w:lang w:eastAsia="ko-KR"/>
        </w:rPr>
        <w:t xml:space="preserve">they never walked on any day of the week for more than 10 minutes, it stands </w:t>
      </w:r>
      <w:r w:rsidR="0006405F" w:rsidRPr="00587212">
        <w:rPr>
          <w:lang w:eastAsia="ko-KR"/>
        </w:rPr>
        <w:t>to</w:t>
      </w:r>
      <w:r w:rsidR="00143523" w:rsidRPr="00587212">
        <w:rPr>
          <w:lang w:eastAsia="ko-KR"/>
        </w:rPr>
        <w:t xml:space="preserve"> reason that their walking duration is shorter than 10 minutes. However, social companionship is not relevant for “never” walkers; so, for “never” walkers, the procedure below needs to be modified to consider only the marginal bivariate probability of frequency and duration. </w:t>
      </w:r>
      <w:r w:rsidR="0006405F" w:rsidRPr="00587212">
        <w:rPr>
          <w:lang w:eastAsia="ko-KR"/>
        </w:rPr>
        <w:t>Next</w:t>
      </w:r>
      <w:r w:rsidR="00143523" w:rsidRPr="00587212">
        <w:rPr>
          <w:lang w:eastAsia="ko-KR"/>
        </w:rPr>
        <w:t>,</w:t>
      </w:r>
      <w:r w:rsidR="00E1138F" w:rsidRPr="00587212">
        <w:rPr>
          <w:lang w:eastAsia="ko-KR"/>
        </w:rPr>
        <w:t xml:space="preserve"> </w:t>
      </w:r>
      <w:r w:rsidR="00143523" w:rsidRPr="00587212">
        <w:rPr>
          <w:rFonts w:eastAsiaTheme="minorEastAsia"/>
          <w:lang w:eastAsia="ko-KR"/>
        </w:rPr>
        <w:t>f</w:t>
      </w:r>
      <w:r w:rsidR="00D92A43" w:rsidRPr="00587212">
        <w:rPr>
          <w:rFonts w:eastAsiaTheme="minorEastAsia" w:hint="eastAsia"/>
          <w:lang w:eastAsia="ko-KR"/>
        </w:rPr>
        <w:t xml:space="preserve">ollowing notations from </w:t>
      </w:r>
      <w:r w:rsidR="00D92A43" w:rsidRPr="00587212">
        <w:rPr>
          <w:rFonts w:eastAsiaTheme="minorEastAsia"/>
          <w:lang w:eastAsia="ko-KR"/>
        </w:rPr>
        <w:fldChar w:fldCharType="begin"/>
      </w:r>
      <w:r w:rsidR="00D92A43" w:rsidRPr="00587212">
        <w:rPr>
          <w:rFonts w:eastAsiaTheme="minorEastAsia"/>
          <w:lang w:eastAsia="ko-KR"/>
        </w:rPr>
        <w:instrText xml:space="preserve"> ADDIN ZOTERO_ITEM CSL_CITATION {"citationID":"JLVJbGq5","properties":{"formattedCitation":"(Bhat et al., 2010)","plainCitation":"(Bhat et al., 2010)","dontUpdate":true,"noteIndex":0},"citationItems":[{"id":1137,"uris":["http://zotero.org/users/10132210/items/D97NZR9H"],"itemData":{"id":1137,"type":"chapter","container-title":"Maximum Simulated Likelihood Methods and Applications","ISBN":"978-0-85724-149-8","language":"en","license":"http://www.emeraldinsight.com/page/tdm","note":"collection-title: Advances in Econometrics\nDOI: 10.1108/S0731-9053(2010)0000026007","page":"65-106","publisher":"Emerald Group Publishing Limited","source":"DOI.org (Crossref)","title":"A comparison of the maximum simulated likelihood and composite marginal likelihood estimation approaches in the context of the multivariate ordered-response model","URL":"https://www.emerald.com/insight/content/doi/10.1108/S0731-9053(2010)0000026007/full/html","volume":"26","editor":[{"family":"Greene","given":"William"},{"family":"Carter Hill","given":"R."}],"author":[{"family":"Bhat","given":"Chandra R."},{"family":"Varin","given":"Cristiano"},{"family":"Ferdous","given":"Nazneen"}],"accessed":{"date-parts":[["2024",5,22]]},"issued":{"date-parts":[["2010",1]]}}}],"schema":"https://github.com/citation-style-language/schema/raw/master/csl-citation.json"} </w:instrText>
      </w:r>
      <w:r w:rsidR="00D92A43" w:rsidRPr="00587212">
        <w:rPr>
          <w:rFonts w:eastAsiaTheme="minorEastAsia"/>
          <w:lang w:eastAsia="ko-KR"/>
        </w:rPr>
        <w:fldChar w:fldCharType="separate"/>
      </w:r>
      <w:r w:rsidR="00D92A43" w:rsidRPr="00587212">
        <w:rPr>
          <w:rFonts w:cs="Times"/>
        </w:rPr>
        <w:t xml:space="preserve">Bhat et al., </w:t>
      </w:r>
      <w:r w:rsidR="00D92A43" w:rsidRPr="00587212">
        <w:rPr>
          <w:rFonts w:eastAsiaTheme="minorEastAsia" w:cs="Times"/>
          <w:lang w:eastAsia="ko-KR"/>
        </w:rPr>
        <w:t>(</w:t>
      </w:r>
      <w:r w:rsidR="00D92A43" w:rsidRPr="00587212">
        <w:rPr>
          <w:rFonts w:cs="Times"/>
        </w:rPr>
        <w:t>2010)</w:t>
      </w:r>
      <w:r w:rsidR="00D92A43" w:rsidRPr="00587212">
        <w:rPr>
          <w:rFonts w:eastAsiaTheme="minorEastAsia"/>
          <w:lang w:eastAsia="ko-KR"/>
        </w:rPr>
        <w:fldChar w:fldCharType="end"/>
      </w:r>
      <w:r w:rsidR="00D92A43" w:rsidRPr="00587212">
        <w:rPr>
          <w:rFonts w:eastAsiaTheme="minorEastAsia"/>
          <w:lang w:eastAsia="ko-KR"/>
        </w:rPr>
        <w:t xml:space="preserve"> and </w:t>
      </w:r>
      <w:r w:rsidR="00D92A43" w:rsidRPr="00587212">
        <w:rPr>
          <w:rFonts w:eastAsiaTheme="minorEastAsia"/>
          <w:noProof/>
          <w:lang w:eastAsia="ko-KR"/>
        </w:rPr>
        <w:fldChar w:fldCharType="begin"/>
      </w:r>
      <w:r w:rsidR="003123FA" w:rsidRPr="00587212">
        <w:rPr>
          <w:rFonts w:eastAsiaTheme="minorEastAsia"/>
          <w:noProof/>
          <w:lang w:eastAsia="ko-KR"/>
        </w:rPr>
        <w:instrText xml:space="preserve"> ADDIN ZOTERO_ITEM CSL_CITATION {"citationID":"SZ6wTrVb","properties":{"formattedCitation":"(Bhat, 2018)","plainCitation":"(Bhat, 2018)","dontUpdate":true,"noteIndex":0},"citationItems":[{"id":1051,"uris":["http://zotero.org/users/10132210/items/GMRDJPBW"],"itemData":{"id":1051,"type":"article-journal","container-title":"Transportation Research Part B: Methodological","DOI":"10.1016/j.trb.2018.01.011","ISSN":"01912615","journalAbbreviation":"Transportation Research Part B: Methodological","language":"en","page":"238-256","source":"DOI.org (Crossref)","title":"New matrix-based methods for the analytic evaluation of the multivariate cumulative normal distribution function","volume":"109","author":[{"family":"Bhat","given":"Chandra R."}],"issued":{"date-parts":[["2018",3]]}}}],"schema":"https://github.com/citation-style-language/schema/raw/master/csl-citation.json"} </w:instrText>
      </w:r>
      <w:r w:rsidR="00D92A43" w:rsidRPr="00587212">
        <w:rPr>
          <w:rFonts w:eastAsiaTheme="minorEastAsia"/>
          <w:noProof/>
          <w:lang w:eastAsia="ko-KR"/>
        </w:rPr>
        <w:fldChar w:fldCharType="separate"/>
      </w:r>
      <w:r w:rsidR="00D92A43" w:rsidRPr="00587212">
        <w:rPr>
          <w:rFonts w:cs="Times"/>
        </w:rPr>
        <w:t xml:space="preserve">Bhat, </w:t>
      </w:r>
      <w:r w:rsidR="00D92A43" w:rsidRPr="00587212">
        <w:rPr>
          <w:rFonts w:eastAsiaTheme="minorEastAsia" w:cs="Times"/>
          <w:lang w:eastAsia="ko-KR"/>
        </w:rPr>
        <w:t>(</w:t>
      </w:r>
      <w:r w:rsidR="00D92A43" w:rsidRPr="00587212">
        <w:rPr>
          <w:rFonts w:cs="Times"/>
        </w:rPr>
        <w:t>2018)</w:t>
      </w:r>
      <w:r w:rsidR="00D92A43" w:rsidRPr="00587212">
        <w:rPr>
          <w:rFonts w:eastAsiaTheme="minorEastAsia"/>
          <w:noProof/>
          <w:lang w:eastAsia="ko-KR"/>
        </w:rPr>
        <w:fldChar w:fldCharType="end"/>
      </w:r>
      <w:r w:rsidR="00D92A43" w:rsidRPr="00587212">
        <w:rPr>
          <w:rFonts w:eastAsiaTheme="minorEastAsia" w:hint="eastAsia"/>
          <w:lang w:eastAsia="ko-KR"/>
        </w:rPr>
        <w:t xml:space="preserve">, let </w:t>
      </w:r>
      <w:r w:rsidR="00D92A43" w:rsidRPr="00587212">
        <w:rPr>
          <w:rFonts w:eastAsiaTheme="minorEastAsia"/>
          <w:i/>
          <w:iCs/>
          <w:lang w:eastAsia="ko-KR"/>
        </w:rPr>
        <w:t>i</w:t>
      </w:r>
      <w:r w:rsidR="00D92A43" w:rsidRPr="00587212">
        <w:rPr>
          <w:rFonts w:eastAsiaTheme="minorEastAsia" w:hint="eastAsia"/>
          <w:lang w:eastAsia="ko-KR"/>
        </w:rPr>
        <w:t xml:space="preserve"> be an index for</w:t>
      </w:r>
      <w:r w:rsidR="00CB420D" w:rsidRPr="00587212">
        <w:rPr>
          <w:rFonts w:eastAsiaTheme="minorEastAsia"/>
          <w:lang w:eastAsia="ko-KR"/>
        </w:rPr>
        <w:t xml:space="preserve"> </w:t>
      </w:r>
      <w:r w:rsidR="00D92A43" w:rsidRPr="00587212">
        <w:rPr>
          <w:rFonts w:eastAsiaTheme="minorEastAsia" w:hint="eastAsia"/>
          <w:lang w:eastAsia="ko-KR"/>
        </w:rPr>
        <w:t>outcome</w:t>
      </w:r>
      <w:r w:rsidR="00D92A43" w:rsidRPr="00587212">
        <w:rPr>
          <w:rFonts w:eastAsiaTheme="minorEastAsia"/>
          <w:lang w:eastAsia="ko-KR"/>
        </w:rPr>
        <w:t xml:space="preserve"> (</w:t>
      </w:r>
      <w:r w:rsidR="00D92A43" w:rsidRPr="00587212">
        <w:rPr>
          <w:rFonts w:eastAsiaTheme="minorEastAsia"/>
          <w:i/>
          <w:iCs/>
          <w:lang w:eastAsia="ko-KR"/>
        </w:rPr>
        <w:t>i</w:t>
      </w:r>
      <w:r w:rsidR="00D92A43" w:rsidRPr="00587212">
        <w:rPr>
          <w:rFonts w:eastAsiaTheme="minorEastAsia"/>
          <w:i/>
          <w:iCs/>
          <w:position w:val="-4"/>
          <w:lang w:eastAsia="ko-KR"/>
        </w:rPr>
        <w:object w:dxaOrig="200" w:dyaOrig="180" w14:anchorId="697C21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9pt" o:ole="">
            <v:imagedata r:id="rId13" o:title=""/>
          </v:shape>
          <o:OLEObject Type="Embed" ProgID="Equation.DSMT4" ShapeID="_x0000_i1025" DrawAspect="Content" ObjectID="_1782815610" r:id="rId14"/>
        </w:object>
      </w:r>
      <w:r w:rsidR="00D92A43" w:rsidRPr="00587212">
        <w:rPr>
          <w:rFonts w:eastAsiaTheme="minorEastAsia"/>
          <w:lang w:eastAsia="ko-KR"/>
        </w:rPr>
        <w:t>1,2,…</w:t>
      </w:r>
      <w:r w:rsidR="00D92A43" w:rsidRPr="00587212">
        <w:rPr>
          <w:rFonts w:eastAsiaTheme="minorEastAsia" w:hint="eastAsia"/>
          <w:lang w:eastAsia="ko-KR"/>
        </w:rPr>
        <w:t>,</w:t>
      </w:r>
      <w:r w:rsidR="00D92A43" w:rsidRPr="00587212">
        <w:rPr>
          <w:rFonts w:eastAsiaTheme="minorEastAsia"/>
          <w:lang w:eastAsia="ko-KR"/>
        </w:rPr>
        <w:t xml:space="preserve"> </w:t>
      </w:r>
      <w:r w:rsidR="00D92A43" w:rsidRPr="00587212">
        <w:rPr>
          <w:rFonts w:eastAsiaTheme="minorEastAsia"/>
          <w:i/>
          <w:iCs/>
          <w:lang w:eastAsia="ko-KR"/>
        </w:rPr>
        <w:t>I</w:t>
      </w:r>
      <w:r w:rsidRPr="00587212">
        <w:rPr>
          <w:rFonts w:eastAsiaTheme="minorEastAsia"/>
          <w:lang w:eastAsia="ko-KR"/>
        </w:rPr>
        <w:t>;</w:t>
      </w:r>
      <w:r w:rsidR="00D92A43" w:rsidRPr="00587212">
        <w:rPr>
          <w:rFonts w:eastAsiaTheme="minorEastAsia" w:hint="eastAsia"/>
          <w:lang w:eastAsia="ko-KR"/>
        </w:rPr>
        <w:t xml:space="preserve"> in this study,</w:t>
      </w:r>
      <w:r w:rsidR="00D92A43" w:rsidRPr="00587212">
        <w:rPr>
          <w:rFonts w:eastAsiaTheme="minorEastAsia"/>
          <w:lang w:eastAsia="ko-KR"/>
        </w:rPr>
        <w:t xml:space="preserve"> </w:t>
      </w:r>
      <w:r w:rsidR="00D92A43" w:rsidRPr="00587212">
        <w:rPr>
          <w:rFonts w:eastAsiaTheme="minorEastAsia"/>
          <w:i/>
          <w:iCs/>
          <w:lang w:eastAsia="ko-KR"/>
        </w:rPr>
        <w:t>I</w:t>
      </w:r>
      <w:r w:rsidR="00D92A43" w:rsidRPr="00587212">
        <w:rPr>
          <w:rFonts w:eastAsiaTheme="minorEastAsia"/>
          <w:i/>
          <w:iCs/>
          <w:position w:val="-4"/>
          <w:lang w:eastAsia="ko-KR"/>
        </w:rPr>
        <w:object w:dxaOrig="200" w:dyaOrig="180" w14:anchorId="5A292B6F">
          <v:shape id="_x0000_i1026" type="#_x0000_t75" style="width:10.7pt;height:9pt" o:ole="">
            <v:imagedata r:id="rId13" o:title=""/>
          </v:shape>
          <o:OLEObject Type="Embed" ProgID="Equation.DSMT4" ShapeID="_x0000_i1026" DrawAspect="Content" ObjectID="_1782815611" r:id="rId15"/>
        </w:object>
      </w:r>
      <w:r w:rsidR="00D92A43" w:rsidRPr="00587212">
        <w:rPr>
          <w:rFonts w:eastAsiaTheme="minorEastAsia"/>
          <w:lang w:eastAsia="ko-KR"/>
        </w:rPr>
        <w:t>3).</w:t>
      </w:r>
      <w:r w:rsidR="00D92A43" w:rsidRPr="00587212">
        <w:rPr>
          <w:rFonts w:eastAsiaTheme="minorEastAsia" w:hint="eastAsia"/>
          <w:lang w:eastAsia="ko-KR"/>
        </w:rPr>
        <w:t xml:space="preserve"> </w:t>
      </w:r>
      <w:r w:rsidR="00E1138F" w:rsidRPr="00587212">
        <w:rPr>
          <w:rFonts w:eastAsiaTheme="minorEastAsia"/>
          <w:lang w:eastAsia="ko-KR"/>
        </w:rPr>
        <w:t>Also, l</w:t>
      </w:r>
      <w:r w:rsidR="00D92A43" w:rsidRPr="00587212">
        <w:rPr>
          <w:rFonts w:eastAsiaTheme="minorEastAsia"/>
          <w:lang w:eastAsia="ko-KR"/>
        </w:rPr>
        <w:t>et</w:t>
      </w:r>
      <w:r w:rsidR="00E1138F" w:rsidRPr="00587212">
        <w:rPr>
          <w:rFonts w:eastAsiaTheme="minorEastAsia"/>
          <w:lang w:eastAsia="ko-KR"/>
        </w:rPr>
        <w:t xml:space="preserve"> </w:t>
      </w:r>
      <w:r w:rsidR="00D92A43" w:rsidRPr="00587212">
        <w:rPr>
          <w:rFonts w:eastAsiaTheme="minorEastAsia"/>
          <w:lang w:eastAsia="ko-KR"/>
        </w:rPr>
        <w:t>t</w:t>
      </w:r>
      <w:r w:rsidR="00D92A43" w:rsidRPr="00587212">
        <w:rPr>
          <w:rFonts w:eastAsiaTheme="minorEastAsia" w:hint="eastAsia"/>
          <w:lang w:eastAsia="ko-KR"/>
        </w:rPr>
        <w:t>he ord</w:t>
      </w:r>
      <w:r w:rsidRPr="00587212">
        <w:rPr>
          <w:rFonts w:eastAsiaTheme="minorEastAsia"/>
          <w:lang w:eastAsia="ko-KR"/>
        </w:rPr>
        <w:t>ered-response</w:t>
      </w:r>
      <w:r w:rsidR="00D92A43" w:rsidRPr="00587212">
        <w:rPr>
          <w:rFonts w:eastAsiaTheme="minorEastAsia" w:hint="eastAsia"/>
          <w:lang w:eastAsia="ko-KR"/>
        </w:rPr>
        <w:t xml:space="preserve"> </w:t>
      </w:r>
      <w:r w:rsidR="006714ED" w:rsidRPr="00587212">
        <w:rPr>
          <w:rFonts w:eastAsiaTheme="minorEastAsia"/>
          <w:lang w:eastAsia="ko-KR"/>
        </w:rPr>
        <w:t>(grouped</w:t>
      </w:r>
      <w:r w:rsidRPr="00587212">
        <w:rPr>
          <w:rFonts w:eastAsiaTheme="minorEastAsia"/>
          <w:lang w:eastAsia="ko-KR"/>
        </w:rPr>
        <w:t>-response</w:t>
      </w:r>
      <w:r w:rsidR="006714ED" w:rsidRPr="00587212">
        <w:rPr>
          <w:rFonts w:eastAsiaTheme="minorEastAsia"/>
          <w:lang w:eastAsia="ko-KR"/>
        </w:rPr>
        <w:t xml:space="preserve">) </w:t>
      </w:r>
      <w:r w:rsidR="00D92A43" w:rsidRPr="00587212">
        <w:rPr>
          <w:rFonts w:eastAsiaTheme="minorEastAsia" w:hint="eastAsia"/>
          <w:lang w:eastAsia="ko-KR"/>
        </w:rPr>
        <w:t xml:space="preserve">level for </w:t>
      </w:r>
      <w:r w:rsidR="00D92A43" w:rsidRPr="00587212">
        <w:rPr>
          <w:rFonts w:eastAsiaTheme="minorEastAsia"/>
          <w:lang w:eastAsia="ko-KR"/>
        </w:rPr>
        <w:t xml:space="preserve">outcome </w:t>
      </w:r>
      <w:r w:rsidR="00D92A43" w:rsidRPr="00587212">
        <w:rPr>
          <w:rFonts w:eastAsiaTheme="minorEastAsia"/>
          <w:i/>
          <w:iCs/>
          <w:lang w:eastAsia="ko-KR"/>
        </w:rPr>
        <w:t>i</w:t>
      </w:r>
      <w:r w:rsidR="00D92A43" w:rsidRPr="00587212">
        <w:rPr>
          <w:rFonts w:eastAsiaTheme="minorEastAsia"/>
          <w:lang w:eastAsia="ko-KR"/>
        </w:rPr>
        <w:t xml:space="preserve"> </w:t>
      </w:r>
      <w:r w:rsidR="00D92A43" w:rsidRPr="00587212">
        <w:rPr>
          <w:rFonts w:eastAsiaTheme="minorEastAsia" w:hint="eastAsia"/>
          <w:lang w:eastAsia="ko-KR"/>
        </w:rPr>
        <w:t>be</w:t>
      </w:r>
      <w:r w:rsidR="00D92A43" w:rsidRPr="00587212">
        <w:rPr>
          <w:rFonts w:eastAsiaTheme="minorEastAsia"/>
          <w:lang w:eastAsia="ko-KR"/>
        </w:rPr>
        <w:t xml:space="preserve"> </w:t>
      </w:r>
      <w:r w:rsidR="00D92A43" w:rsidRPr="00587212">
        <w:rPr>
          <w:rFonts w:ascii="Times New Roman" w:hAnsi="Times New Roman"/>
          <w:i/>
          <w:szCs w:val="24"/>
        </w:rPr>
        <w:t>m</w:t>
      </w:r>
      <w:r w:rsidR="00D92A43" w:rsidRPr="00587212">
        <w:rPr>
          <w:rFonts w:ascii="Times New Roman" w:hAnsi="Times New Roman"/>
          <w:i/>
          <w:szCs w:val="24"/>
          <w:vertAlign w:val="subscript"/>
        </w:rPr>
        <w:t>i</w:t>
      </w:r>
      <w:r w:rsidR="00D92A43" w:rsidRPr="00587212">
        <w:rPr>
          <w:rFonts w:ascii="Times New Roman" w:hAnsi="Times New Roman"/>
          <w:szCs w:val="24"/>
        </w:rPr>
        <w:t xml:space="preserve"> </w:t>
      </w:r>
      <w:r w:rsidR="00D92A43" w:rsidRPr="00587212">
        <w:rPr>
          <w:rFonts w:ascii="Times New Roman" w:hAnsi="Times New Roman"/>
          <w:position w:val="-4"/>
          <w:szCs w:val="24"/>
        </w:rPr>
        <w:object w:dxaOrig="200" w:dyaOrig="200" w14:anchorId="78742520">
          <v:shape id="_x0000_i1027" type="#_x0000_t75" style="width:10.7pt;height:10.7pt" o:ole="">
            <v:imagedata r:id="rId16" o:title=""/>
          </v:shape>
          <o:OLEObject Type="Embed" ProgID="Equation.3" ShapeID="_x0000_i1027" DrawAspect="Content" ObjectID="_1782815612" r:id="rId17"/>
        </w:object>
      </w:r>
      <w:r w:rsidR="00D92A43" w:rsidRPr="00587212">
        <w:rPr>
          <w:rFonts w:ascii="Times New Roman" w:hAnsi="Times New Roman"/>
          <w:szCs w:val="24"/>
        </w:rPr>
        <w:t xml:space="preserve">{1, 2, …, </w:t>
      </w:r>
      <w:r w:rsidR="00D92A43" w:rsidRPr="00587212">
        <w:rPr>
          <w:rFonts w:ascii="Times New Roman" w:hAnsi="Times New Roman"/>
          <w:i/>
          <w:szCs w:val="24"/>
        </w:rPr>
        <w:t>K</w:t>
      </w:r>
      <w:r w:rsidR="00D92A43" w:rsidRPr="00587212">
        <w:rPr>
          <w:rFonts w:ascii="Times New Roman" w:hAnsi="Times New Roman"/>
          <w:i/>
          <w:szCs w:val="24"/>
          <w:vertAlign w:val="subscript"/>
        </w:rPr>
        <w:t>i</w:t>
      </w:r>
      <w:r w:rsidR="00D92A43" w:rsidRPr="00587212">
        <w:rPr>
          <w:rFonts w:ascii="Times New Roman" w:hAnsi="Times New Roman"/>
          <w:szCs w:val="24"/>
        </w:rPr>
        <w:t xml:space="preserve">}, </w:t>
      </w:r>
      <w:r w:rsidR="00D92A43" w:rsidRPr="00587212">
        <w:rPr>
          <w:rFonts w:eastAsiaTheme="minorEastAsia" w:hint="eastAsia"/>
          <w:lang w:eastAsia="ko-KR"/>
        </w:rPr>
        <w:t>where</w:t>
      </w:r>
      <w:r w:rsidR="00D92A43" w:rsidRPr="00587212">
        <w:rPr>
          <w:rFonts w:eastAsiaTheme="minorEastAsia"/>
          <w:lang w:eastAsia="ko-KR"/>
        </w:rPr>
        <w:t xml:space="preserve"> </w:t>
      </w:r>
      <w:r w:rsidR="00D92A43" w:rsidRPr="00587212">
        <w:rPr>
          <w:rFonts w:ascii="Times New Roman" w:hAnsi="Times New Roman"/>
          <w:i/>
          <w:szCs w:val="24"/>
        </w:rPr>
        <w:t>K</w:t>
      </w:r>
      <w:r w:rsidR="00D92A43" w:rsidRPr="00587212">
        <w:rPr>
          <w:rFonts w:ascii="Times New Roman" w:hAnsi="Times New Roman"/>
          <w:i/>
          <w:szCs w:val="24"/>
          <w:vertAlign w:val="subscript"/>
        </w:rPr>
        <w:t>i</w:t>
      </w:r>
      <w:r w:rsidR="00D92A43" w:rsidRPr="00587212">
        <w:rPr>
          <w:rFonts w:ascii="Times New Roman" w:hAnsi="Times New Roman"/>
          <w:i/>
          <w:szCs w:val="24"/>
        </w:rPr>
        <w:t xml:space="preserve"> </w:t>
      </w:r>
      <w:r w:rsidR="00D92A43" w:rsidRPr="00587212">
        <w:rPr>
          <w:rFonts w:eastAsiaTheme="minorEastAsia" w:hint="eastAsia"/>
          <w:lang w:eastAsia="ko-KR"/>
        </w:rPr>
        <w:t xml:space="preserve">is the highest level </w:t>
      </w:r>
      <w:r w:rsidR="00D92A43" w:rsidRPr="00587212">
        <w:rPr>
          <w:rFonts w:eastAsiaTheme="minorEastAsia"/>
          <w:lang w:eastAsia="ko-KR"/>
        </w:rPr>
        <w:t>corresponding to</w:t>
      </w:r>
      <w:r w:rsidR="00D92A43" w:rsidRPr="00587212">
        <w:rPr>
          <w:rFonts w:eastAsiaTheme="minorEastAsia" w:hint="eastAsia"/>
          <w:lang w:eastAsia="ko-KR"/>
        </w:rPr>
        <w:t xml:space="preserve"> variable</w:t>
      </w:r>
      <w:r w:rsidR="00D92A43" w:rsidRPr="00587212">
        <w:rPr>
          <w:rFonts w:eastAsiaTheme="minorEastAsia"/>
          <w:lang w:eastAsia="ko-KR"/>
        </w:rPr>
        <w:t xml:space="preserve"> </w:t>
      </w:r>
      <w:r w:rsidR="00D92A43" w:rsidRPr="00587212">
        <w:rPr>
          <w:rFonts w:eastAsiaTheme="minorEastAsia"/>
          <w:i/>
          <w:iCs/>
          <w:lang w:eastAsia="ko-KR"/>
        </w:rPr>
        <w:t>i</w:t>
      </w:r>
      <w:r w:rsidR="00D92A43" w:rsidRPr="00587212">
        <w:rPr>
          <w:rFonts w:eastAsiaTheme="minorEastAsia"/>
          <w:lang w:eastAsia="ko-KR"/>
        </w:rPr>
        <w:t xml:space="preserve">. </w:t>
      </w:r>
      <w:r w:rsidR="00D92A43" w:rsidRPr="00587212">
        <w:rPr>
          <w:rFonts w:eastAsiaTheme="minorEastAsia" w:hint="eastAsia"/>
          <w:lang w:eastAsia="ko-KR"/>
        </w:rPr>
        <w:t>In conventional ordered</w:t>
      </w:r>
      <w:r w:rsidR="00D92A43">
        <w:rPr>
          <w:rFonts w:eastAsiaTheme="minorEastAsia" w:hint="eastAsia"/>
          <w:lang w:eastAsia="ko-KR"/>
        </w:rPr>
        <w:t xml:space="preserve"> response formulation, </w:t>
      </w:r>
    </w:p>
    <w:p w14:paraId="248EA043" w14:textId="0C0BB5DC" w:rsidR="00D92A43" w:rsidRPr="00870C03" w:rsidRDefault="009E3EB3" w:rsidP="000D4062">
      <w:pPr>
        <w:tabs>
          <w:tab w:val="right" w:pos="9360"/>
        </w:tabs>
        <w:spacing w:before="120" w:after="120"/>
        <w:jc w:val="both"/>
        <w:rPr>
          <w:rFonts w:ascii="Times New Roman" w:hAnsi="Times New Roman"/>
          <w:szCs w:val="24"/>
        </w:rPr>
      </w:pPr>
      <w:r w:rsidRPr="005C237C">
        <w:rPr>
          <w:rFonts w:ascii="Times New Roman" w:hAnsi="Times New Roman"/>
          <w:position w:val="-12"/>
          <w:szCs w:val="24"/>
        </w:rPr>
        <w:object w:dxaOrig="1980" w:dyaOrig="380" w14:anchorId="1AC13ABB">
          <v:shape id="_x0000_i1028" type="#_x0000_t75" style="width:99.85pt;height:18.85pt" o:ole="" o:preferrelative="f">
            <v:imagedata r:id="rId18" o:title=""/>
            <o:lock v:ext="edit" aspectratio="f"/>
          </v:shape>
          <o:OLEObject Type="Embed" ProgID="Equation.DSMT4" ShapeID="_x0000_i1028" DrawAspect="Content" ObjectID="_1782815613" r:id="rId19"/>
        </w:object>
      </w:r>
      <w:r w:rsidR="00D92A43" w:rsidRPr="00870C03">
        <w:rPr>
          <w:rFonts w:ascii="Times New Roman" w:hAnsi="Times New Roman"/>
          <w:szCs w:val="24"/>
        </w:rPr>
        <w:t xml:space="preserve"> if  </w:t>
      </w:r>
      <w:r w:rsidRPr="005C237C">
        <w:rPr>
          <w:rFonts w:ascii="Times New Roman" w:hAnsi="Times New Roman"/>
          <w:position w:val="-12"/>
          <w:szCs w:val="24"/>
        </w:rPr>
        <w:object w:dxaOrig="1500" w:dyaOrig="380" w14:anchorId="01F6E663">
          <v:shape id="_x0000_i1029" type="#_x0000_t75" style="width:75pt;height:18.85pt" o:ole="" o:preferrelative="f">
            <v:imagedata r:id="rId20" o:title=""/>
            <o:lock v:ext="edit" aspectratio="f"/>
          </v:shape>
          <o:OLEObject Type="Embed" ProgID="Equation.DSMT4" ShapeID="_x0000_i1029" DrawAspect="Content" ObjectID="_1782815614" r:id="rId21"/>
        </w:object>
      </w:r>
      <w:r w:rsidR="00D92A43" w:rsidRPr="00870C03">
        <w:rPr>
          <w:rFonts w:ascii="Times New Roman" w:hAnsi="Times New Roman"/>
          <w:szCs w:val="24"/>
        </w:rPr>
        <w:t>,</w:t>
      </w:r>
      <w:r w:rsidR="00D92A43" w:rsidRPr="00870C03">
        <w:rPr>
          <w:rFonts w:ascii="Times New Roman" w:hAnsi="Times New Roman"/>
          <w:szCs w:val="24"/>
        </w:rPr>
        <w:tab/>
        <w:t>(1)</w:t>
      </w:r>
    </w:p>
    <w:p w14:paraId="4C55DC5E" w14:textId="41D496B0" w:rsidR="00FB2CEB" w:rsidRPr="00360CE2" w:rsidRDefault="00D92A43" w:rsidP="003518AB">
      <w:pPr>
        <w:jc w:val="both"/>
        <w:rPr>
          <w:rFonts w:ascii="Times New Roman" w:hAnsi="Times New Roman"/>
          <w:bCs/>
          <w:szCs w:val="24"/>
        </w:rPr>
      </w:pPr>
      <w:r w:rsidRPr="00870C03">
        <w:rPr>
          <w:rFonts w:ascii="Times New Roman" w:hAnsi="Times New Roman"/>
          <w:szCs w:val="24"/>
        </w:rPr>
        <w:t xml:space="preserve">where </w:t>
      </w:r>
      <w:r w:rsidR="009E3EB3" w:rsidRPr="00613B7F">
        <w:rPr>
          <w:position w:val="-4"/>
        </w:rPr>
        <w:object w:dxaOrig="200" w:dyaOrig="200" w14:anchorId="024B4497">
          <v:shape id="_x0000_i1030" type="#_x0000_t75" style="width:9.85pt;height:9.85pt" o:ole="">
            <v:imagedata r:id="rId22" o:title=""/>
          </v:shape>
          <o:OLEObject Type="Embed" ProgID="Equation.DSMT4" ShapeID="_x0000_i1030" DrawAspect="Content" ObjectID="_1782815615" r:id="rId23"/>
        </w:object>
      </w:r>
      <w:r w:rsidR="009E3EB3">
        <w:t xml:space="preserve"> </w:t>
      </w:r>
      <w:r w:rsidRPr="00870C03">
        <w:rPr>
          <w:rFonts w:ascii="Times New Roman" w:hAnsi="Times New Roman"/>
          <w:szCs w:val="24"/>
        </w:rPr>
        <w:t>is a</w:t>
      </w:r>
      <w:r>
        <w:rPr>
          <w:rFonts w:ascii="Times New Roman" w:hAnsi="Times New Roman"/>
          <w:szCs w:val="24"/>
        </w:rPr>
        <w:t xml:space="preserve">n </w:t>
      </w:r>
      <w:r w:rsidRPr="00870C03">
        <w:rPr>
          <w:rFonts w:ascii="Times New Roman" w:hAnsi="Times New Roman"/>
          <w:szCs w:val="24"/>
        </w:rPr>
        <w:t>(</w:t>
      </w:r>
      <w:r w:rsidRPr="00870C03">
        <w:rPr>
          <w:rFonts w:ascii="Times New Roman" w:hAnsi="Times New Roman"/>
          <w:i/>
          <w:szCs w:val="24"/>
        </w:rPr>
        <w:t>L×</w:t>
      </w:r>
      <w:r w:rsidRPr="00870C03">
        <w:rPr>
          <w:rFonts w:ascii="Times New Roman" w:hAnsi="Times New Roman"/>
          <w:szCs w:val="24"/>
        </w:rPr>
        <w:t>1)</w:t>
      </w:r>
      <w:r w:rsidRPr="00F22B45">
        <w:rPr>
          <w:rFonts w:eastAsiaTheme="minorEastAsia" w:hint="eastAsia"/>
          <w:lang w:eastAsia="ko-KR"/>
        </w:rPr>
        <w:t xml:space="preserve"> vector of exogenous variables </w:t>
      </w:r>
      <w:r w:rsidR="001B51B2">
        <w:rPr>
          <w:rFonts w:eastAsiaTheme="minorEastAsia"/>
          <w:lang w:eastAsia="ko-KR"/>
        </w:rPr>
        <w:t xml:space="preserve">(including a constant) </w:t>
      </w:r>
      <w:r>
        <w:rPr>
          <w:rFonts w:eastAsiaTheme="minorEastAsia" w:hint="eastAsia"/>
          <w:lang w:eastAsia="ko-KR"/>
        </w:rPr>
        <w:t xml:space="preserve">as well as </w:t>
      </w:r>
      <w:r w:rsidR="001B51B2">
        <w:rPr>
          <w:rFonts w:eastAsiaTheme="minorEastAsia"/>
          <w:lang w:eastAsia="ko-KR"/>
        </w:rPr>
        <w:t xml:space="preserve">possibly the </w:t>
      </w:r>
      <w:r>
        <w:rPr>
          <w:rFonts w:eastAsiaTheme="minorEastAsia" w:hint="eastAsia"/>
          <w:lang w:eastAsia="ko-KR"/>
        </w:rPr>
        <w:t>observed values of other endogenous variables,</w:t>
      </w:r>
      <w:r>
        <w:rPr>
          <w:rFonts w:eastAsiaTheme="minorEastAsia"/>
          <w:lang w:eastAsia="ko-KR"/>
        </w:rPr>
        <w:t xml:space="preserve"> </w:t>
      </w:r>
      <w:r w:rsidR="009E3EB3" w:rsidRPr="001E03BA">
        <w:rPr>
          <w:position w:val="-12"/>
        </w:rPr>
        <w:object w:dxaOrig="260" w:dyaOrig="380" w14:anchorId="2323B98F">
          <v:shape id="_x0000_i1031" type="#_x0000_t75" style="width:12.85pt;height:18.85pt" o:ole="" o:preferrelative="f">
            <v:imagedata r:id="rId24" o:title=""/>
            <o:lock v:ext="edit" aspectratio="f"/>
          </v:shape>
          <o:OLEObject Type="Embed" ProgID="Equation.DSMT4" ShapeID="_x0000_i1031" DrawAspect="Content" ObjectID="_1782815616" r:id="rId25"/>
        </w:object>
      </w:r>
      <w:r w:rsidR="00FB2CEB">
        <w:rPr>
          <w:rFonts w:ascii="Times New Roman" w:hAnsi="Times New Roman"/>
          <w:szCs w:val="24"/>
        </w:rPr>
        <w:t xml:space="preserve"> is</w:t>
      </w:r>
      <w:r w:rsidRPr="00870C03">
        <w:rPr>
          <w:rFonts w:ascii="Times New Roman" w:hAnsi="Times New Roman"/>
          <w:szCs w:val="24"/>
        </w:rPr>
        <w:t xml:space="preserve"> a corresponding (</w:t>
      </w:r>
      <w:r w:rsidRPr="00870C03">
        <w:rPr>
          <w:rFonts w:ascii="Times New Roman" w:hAnsi="Times New Roman"/>
          <w:i/>
          <w:szCs w:val="24"/>
        </w:rPr>
        <w:t>L×</w:t>
      </w:r>
      <w:r w:rsidRPr="00870C03">
        <w:rPr>
          <w:rFonts w:ascii="Times New Roman" w:hAnsi="Times New Roman"/>
          <w:szCs w:val="24"/>
        </w:rPr>
        <w:t>1) vector of coefficients to be estimated</w:t>
      </w:r>
      <w:r w:rsidR="001B51B2">
        <w:rPr>
          <w:rFonts w:ascii="Times New Roman" w:hAnsi="Times New Roman"/>
          <w:szCs w:val="24"/>
        </w:rPr>
        <w:t xml:space="preserve"> (some of </w:t>
      </w:r>
      <w:r w:rsidR="00CF0E17">
        <w:rPr>
          <w:rFonts w:ascii="Times New Roman" w:hAnsi="Times New Roman"/>
          <w:szCs w:val="24"/>
        </w:rPr>
        <w:t>t</w:t>
      </w:r>
      <w:r w:rsidR="001B51B2">
        <w:rPr>
          <w:rFonts w:ascii="Times New Roman" w:hAnsi="Times New Roman"/>
          <w:szCs w:val="24"/>
        </w:rPr>
        <w:t>hose coefficients can, and in g</w:t>
      </w:r>
      <w:r w:rsidR="00013084">
        <w:rPr>
          <w:rFonts w:ascii="Times New Roman" w:hAnsi="Times New Roman"/>
          <w:szCs w:val="24"/>
        </w:rPr>
        <w:t xml:space="preserve">eneral, </w:t>
      </w:r>
      <w:r w:rsidR="001B51B2">
        <w:rPr>
          <w:rFonts w:ascii="Times New Roman" w:hAnsi="Times New Roman"/>
          <w:szCs w:val="24"/>
        </w:rPr>
        <w:t>will be zero)</w:t>
      </w:r>
      <w:r w:rsidR="00013084">
        <w:rPr>
          <w:rFonts w:ascii="Times New Roman" w:hAnsi="Times New Roman"/>
          <w:szCs w:val="24"/>
        </w:rPr>
        <w:t>.</w:t>
      </w:r>
      <w:r w:rsidRPr="00870C03">
        <w:rPr>
          <w:rFonts w:ascii="Times New Roman" w:hAnsi="Times New Roman"/>
          <w:szCs w:val="24"/>
        </w:rPr>
        <w:t xml:space="preserve"> </w:t>
      </w:r>
      <w:r w:rsidR="00013084">
        <w:rPr>
          <w:rFonts w:ascii="Times New Roman" w:hAnsi="Times New Roman"/>
          <w:szCs w:val="24"/>
        </w:rPr>
        <w:t xml:space="preserve"> </w:t>
      </w:r>
      <w:r w:rsidR="009E3EB3" w:rsidRPr="005C237C">
        <w:rPr>
          <w:rFonts w:ascii="Times New Roman" w:hAnsi="Times New Roman"/>
          <w:position w:val="-12"/>
          <w:szCs w:val="24"/>
        </w:rPr>
        <w:object w:dxaOrig="240" w:dyaOrig="360" w14:anchorId="7822AFF4">
          <v:shape id="_x0000_i1032" type="#_x0000_t75" style="width:12pt;height:18pt" o:ole="" o:preferrelative="f">
            <v:imagedata r:id="rId26" o:title=""/>
            <o:lock v:ext="edit" aspectratio="f"/>
          </v:shape>
          <o:OLEObject Type="Embed" ProgID="Equation.DSMT4" ShapeID="_x0000_i1032" DrawAspect="Content" ObjectID="_1782815617" r:id="rId27"/>
        </w:object>
      </w:r>
      <w:r w:rsidRPr="00870C03">
        <w:rPr>
          <w:rFonts w:ascii="Times New Roman" w:hAnsi="Times New Roman"/>
          <w:szCs w:val="24"/>
        </w:rPr>
        <w:t xml:space="preserve"> is a</w:t>
      </w:r>
      <w:r w:rsidR="00571A71">
        <w:rPr>
          <w:rFonts w:ascii="Times New Roman" w:hAnsi="Times New Roman"/>
          <w:szCs w:val="24"/>
        </w:rPr>
        <w:t>ssumed to be a</w:t>
      </w:r>
      <w:r w:rsidRPr="00870C03">
        <w:rPr>
          <w:rFonts w:ascii="Times New Roman" w:hAnsi="Times New Roman"/>
          <w:szCs w:val="24"/>
        </w:rPr>
        <w:t xml:space="preserve"> normal error term, and </w:t>
      </w:r>
      <w:r w:rsidR="009E3EB3" w:rsidRPr="00870C03">
        <w:rPr>
          <w:rFonts w:ascii="Times New Roman" w:hAnsi="Times New Roman"/>
          <w:position w:val="-12"/>
          <w:szCs w:val="24"/>
        </w:rPr>
        <w:object w:dxaOrig="360" w:dyaOrig="380" w14:anchorId="65C51CA6">
          <v:shape id="_x0000_i1033" type="#_x0000_t75" style="width:18pt;height:18.85pt" o:ole="" o:preferrelative="f">
            <v:imagedata r:id="rId28" o:title=""/>
            <o:lock v:ext="edit" aspectratio="f"/>
          </v:shape>
          <o:OLEObject Type="Embed" ProgID="Equation.DSMT4" ShapeID="_x0000_i1033" DrawAspect="Content" ObjectID="_1782815618" r:id="rId29"/>
        </w:object>
      </w:r>
      <w:r w:rsidRPr="00870C03">
        <w:rPr>
          <w:rFonts w:ascii="Times New Roman" w:hAnsi="Times New Roman"/>
          <w:szCs w:val="24"/>
        </w:rPr>
        <w:t xml:space="preserve"> </w:t>
      </w:r>
      <w:r w:rsidRPr="00870C03">
        <w:rPr>
          <w:rFonts w:ascii="Times New Roman" w:hAnsi="Times New Roman"/>
          <w:szCs w:val="24"/>
        </w:rPr>
        <w:fldChar w:fldCharType="begin"/>
      </w:r>
      <w:r w:rsidRPr="00870C03">
        <w:rPr>
          <w:rFonts w:ascii="Times New Roman" w:hAnsi="Times New Roman"/>
          <w:szCs w:val="24"/>
        </w:rPr>
        <w:instrText xml:space="preserve"> QUOTE </w:instrText>
      </w:r>
      <m:oMath>
        <m:sSubSup>
          <m:sSubSupPr>
            <m:ctrlPr>
              <w:rPr>
                <w:rFonts w:ascii="Cambria Math" w:hAnsi="Cambria Math"/>
                <w:i/>
                <w:szCs w:val="24"/>
              </w:rPr>
            </m:ctrlPr>
          </m:sSubSupPr>
          <m:e>
            <m:r>
              <m:rPr>
                <m:sty m:val="p"/>
              </m:rPr>
              <w:rPr>
                <w:rFonts w:ascii="Cambria Math" w:hAnsi="Cambria Math"/>
                <w:szCs w:val="24"/>
              </w:rPr>
              <m:t>ϴ</m:t>
            </m:r>
          </m:e>
          <m:sub>
            <m:r>
              <m:rPr>
                <m:sty m:val="p"/>
              </m:rPr>
              <w:rPr>
                <w:rFonts w:ascii="Cambria Math" w:hAnsi="Cambria Math"/>
                <w:szCs w:val="24"/>
              </w:rPr>
              <m:t>i</m:t>
            </m:r>
          </m:sub>
          <m:sup>
            <m:r>
              <m:rPr>
                <m:sty m:val="p"/>
              </m:rPr>
              <w:rPr>
                <w:rFonts w:ascii="Cambria Math" w:hAnsi="Cambria Math"/>
                <w:szCs w:val="24"/>
              </w:rPr>
              <m:t>k</m:t>
            </m:r>
          </m:sup>
        </m:sSubSup>
      </m:oMath>
      <w:r w:rsidRPr="00870C03">
        <w:rPr>
          <w:rFonts w:ascii="Times New Roman" w:hAnsi="Times New Roman"/>
          <w:szCs w:val="24"/>
        </w:rPr>
        <w:instrText xml:space="preserve"> </w:instrText>
      </w:r>
      <w:r w:rsidR="00BF1C15">
        <w:rPr>
          <w:rFonts w:ascii="Times New Roman" w:hAnsi="Times New Roman"/>
          <w:szCs w:val="24"/>
        </w:rPr>
        <w:fldChar w:fldCharType="separate"/>
      </w:r>
      <w:r w:rsidRPr="00870C03">
        <w:rPr>
          <w:rFonts w:ascii="Times New Roman" w:hAnsi="Times New Roman"/>
          <w:szCs w:val="24"/>
        </w:rPr>
        <w:fldChar w:fldCharType="end"/>
      </w:r>
      <w:r w:rsidRPr="00870C03">
        <w:rPr>
          <w:rFonts w:ascii="Times New Roman" w:hAnsi="Times New Roman"/>
          <w:szCs w:val="24"/>
        </w:rPr>
        <w:t xml:space="preserve">is the upper bound threshold for level </w:t>
      </w:r>
      <w:r w:rsidRPr="00870C03">
        <w:rPr>
          <w:rFonts w:ascii="Times New Roman" w:hAnsi="Times New Roman"/>
          <w:i/>
          <w:szCs w:val="24"/>
        </w:rPr>
        <w:t>m</w:t>
      </w:r>
      <w:r w:rsidRPr="00870C03">
        <w:rPr>
          <w:rFonts w:ascii="Times New Roman" w:hAnsi="Times New Roman"/>
          <w:i/>
          <w:szCs w:val="24"/>
          <w:vertAlign w:val="subscript"/>
        </w:rPr>
        <w:t>i</w:t>
      </w:r>
      <w:r>
        <w:rPr>
          <w:rFonts w:ascii="Times New Roman" w:hAnsi="Times New Roman"/>
          <w:szCs w:val="24"/>
        </w:rPr>
        <w:t xml:space="preserve">, satisfying </w:t>
      </w:r>
      <w:r w:rsidR="009E3EB3" w:rsidRPr="00870C03">
        <w:rPr>
          <w:rFonts w:ascii="Times New Roman" w:hAnsi="Times New Roman"/>
          <w:position w:val="-12"/>
          <w:szCs w:val="24"/>
        </w:rPr>
        <w:object w:dxaOrig="4780" w:dyaOrig="380" w14:anchorId="55E8F3A1">
          <v:shape id="_x0000_i1034" type="#_x0000_t75" style="width:239.15pt;height:18.85pt" o:ole="" o:preferrelative="f">
            <v:imagedata r:id="rId30" o:title=""/>
            <o:lock v:ext="edit" aspectratio="f"/>
          </v:shape>
          <o:OLEObject Type="Embed" ProgID="Equation.3" ShapeID="_x0000_i1034" DrawAspect="Content" ObjectID="_1782815619" r:id="rId31"/>
        </w:object>
      </w:r>
      <w:r w:rsidRPr="00870C03">
        <w:rPr>
          <w:rFonts w:ascii="Times New Roman" w:hAnsi="Times New Roman"/>
          <w:szCs w:val="24"/>
        </w:rPr>
        <w:t xml:space="preserve"> for each </w:t>
      </w:r>
      <w:r w:rsidR="005C237C">
        <w:rPr>
          <w:rFonts w:ascii="Times New Roman" w:hAnsi="Times New Roman"/>
          <w:szCs w:val="24"/>
        </w:rPr>
        <w:t>outcome</w:t>
      </w:r>
      <w:r w:rsidRPr="00870C03">
        <w:rPr>
          <w:rFonts w:ascii="Times New Roman" w:hAnsi="Times New Roman"/>
          <w:szCs w:val="24"/>
        </w:rPr>
        <w:t xml:space="preserve"> </w:t>
      </w:r>
      <w:r w:rsidRPr="00870C03">
        <w:rPr>
          <w:rFonts w:ascii="Times New Roman" w:hAnsi="Times New Roman"/>
          <w:i/>
          <w:szCs w:val="24"/>
        </w:rPr>
        <w:t>i</w:t>
      </w:r>
      <w:r w:rsidRPr="00870C03">
        <w:rPr>
          <w:rFonts w:ascii="Times New Roman" w:hAnsi="Times New Roman"/>
          <w:szCs w:val="24"/>
        </w:rPr>
        <w:t>.</w:t>
      </w:r>
      <w:r>
        <w:rPr>
          <w:rFonts w:ascii="Times New Roman" w:hAnsi="Times New Roman"/>
          <w:szCs w:val="24"/>
        </w:rPr>
        <w:t xml:space="preserve"> </w:t>
      </w:r>
      <w:r w:rsidR="00CB420D">
        <w:rPr>
          <w:rFonts w:ascii="Times New Roman" w:hAnsi="Times New Roman"/>
          <w:szCs w:val="24"/>
        </w:rPr>
        <w:t>Assum</w:t>
      </w:r>
      <w:r w:rsidR="00571A71">
        <w:rPr>
          <w:rFonts w:ascii="Times New Roman" w:hAnsi="Times New Roman"/>
          <w:szCs w:val="24"/>
        </w:rPr>
        <w:t>e</w:t>
      </w:r>
      <w:r w:rsidR="00CB420D">
        <w:rPr>
          <w:rFonts w:ascii="Times New Roman" w:hAnsi="Times New Roman"/>
          <w:szCs w:val="24"/>
        </w:rPr>
        <w:t xml:space="preserve"> that the </w:t>
      </w:r>
      <w:r w:rsidR="00D66369">
        <w:rPr>
          <w:rFonts w:ascii="Times New Roman" w:hAnsi="Times New Roman"/>
          <w:szCs w:val="24"/>
        </w:rPr>
        <w:t>first outcome is frequency</w:t>
      </w:r>
      <w:r w:rsidR="00F86AAD">
        <w:rPr>
          <w:rFonts w:ascii="Times New Roman" w:hAnsi="Times New Roman"/>
          <w:szCs w:val="24"/>
        </w:rPr>
        <w:t xml:space="preserve"> (</w:t>
      </w:r>
      <w:r w:rsidR="009E3EB3" w:rsidRPr="001E03BA">
        <w:rPr>
          <w:position w:val="-12"/>
        </w:rPr>
        <w:object w:dxaOrig="279" w:dyaOrig="380" w14:anchorId="5858CB12">
          <v:shape id="_x0000_i1035" type="#_x0000_t75" style="width:13.7pt;height:18.85pt" o:ole="" o:preferrelative="f">
            <v:imagedata r:id="rId32" o:title=""/>
            <o:lock v:ext="edit" aspectratio="f"/>
          </v:shape>
          <o:OLEObject Type="Embed" ProgID="Equation.DSMT4" ShapeID="_x0000_i1035" DrawAspect="Content" ObjectID="_1782815620" r:id="rId33"/>
        </w:object>
      </w:r>
      <w:r w:rsidR="00F86AAD">
        <w:t xml:space="preserve"> is the underlying latent propensity </w:t>
      </w:r>
      <w:r w:rsidR="00C037D9">
        <w:t xml:space="preserve">for walking </w:t>
      </w:r>
      <w:r w:rsidR="00E1138F">
        <w:t xml:space="preserve">that is </w:t>
      </w:r>
      <w:r w:rsidR="00F86AAD">
        <w:t>mapp</w:t>
      </w:r>
      <w:r w:rsidR="00E1138F">
        <w:t>ed</w:t>
      </w:r>
      <w:r w:rsidR="00F86AAD">
        <w:t xml:space="preserve"> to the </w:t>
      </w:r>
      <w:r w:rsidR="00C037D9">
        <w:t xml:space="preserve">observed </w:t>
      </w:r>
      <w:r w:rsidR="00F86AAD">
        <w:t xml:space="preserve">ordered-response weekly frequency </w:t>
      </w:r>
      <w:r w:rsidR="009E3EB3" w:rsidRPr="001E03BA">
        <w:rPr>
          <w:position w:val="-12"/>
        </w:rPr>
        <w:object w:dxaOrig="279" w:dyaOrig="380" w14:anchorId="12E8F7E5">
          <v:shape id="_x0000_i1036" type="#_x0000_t75" style="width:13.7pt;height:18.85pt" o:ole="" o:preferrelative="f">
            <v:imagedata r:id="rId34" o:title=""/>
            <o:lock v:ext="edit" aspectratio="f"/>
          </v:shape>
          <o:OLEObject Type="Embed" ProgID="Equation.DSMT4" ShapeID="_x0000_i1036" DrawAspect="Content" ObjectID="_1782815621" r:id="rId35"/>
        </w:object>
      </w:r>
      <w:r w:rsidR="00C037D9">
        <w:t xml:space="preserve"> through the thresholds</w:t>
      </w:r>
      <w:r w:rsidR="00F86AAD">
        <w:t>)</w:t>
      </w:r>
      <w:r w:rsidR="00D66369">
        <w:rPr>
          <w:rFonts w:ascii="Times New Roman" w:hAnsi="Times New Roman"/>
          <w:szCs w:val="24"/>
        </w:rPr>
        <w:t xml:space="preserve">, the </w:t>
      </w:r>
      <w:r w:rsidR="00FB2CEB">
        <w:rPr>
          <w:rFonts w:ascii="Times New Roman" w:hAnsi="Times New Roman"/>
          <w:szCs w:val="24"/>
        </w:rPr>
        <w:t xml:space="preserve">second </w:t>
      </w:r>
      <w:r w:rsidR="00D66369">
        <w:rPr>
          <w:rFonts w:ascii="Times New Roman" w:hAnsi="Times New Roman"/>
          <w:szCs w:val="24"/>
        </w:rPr>
        <w:t xml:space="preserve">is </w:t>
      </w:r>
      <w:r w:rsidR="00CB420D">
        <w:rPr>
          <w:rFonts w:ascii="Times New Roman" w:hAnsi="Times New Roman"/>
          <w:szCs w:val="24"/>
        </w:rPr>
        <w:t>duratio</w:t>
      </w:r>
      <w:r w:rsidR="00D66369">
        <w:rPr>
          <w:rFonts w:ascii="Times New Roman" w:hAnsi="Times New Roman"/>
          <w:szCs w:val="24"/>
        </w:rPr>
        <w:t>n</w:t>
      </w:r>
      <w:r w:rsidR="00F86AAD">
        <w:rPr>
          <w:rFonts w:ascii="Times New Roman" w:hAnsi="Times New Roman"/>
          <w:szCs w:val="24"/>
        </w:rPr>
        <w:t xml:space="preserve"> </w:t>
      </w:r>
      <w:r w:rsidR="009E3EB3" w:rsidRPr="001E03BA">
        <w:rPr>
          <w:position w:val="-12"/>
        </w:rPr>
        <w:object w:dxaOrig="360" w:dyaOrig="380" w14:anchorId="57E659B1">
          <v:shape id="_x0000_i1037" type="#_x0000_t75" style="width:18pt;height:18.85pt" o:ole="" o:preferrelative="f">
            <v:imagedata r:id="rId36" o:title=""/>
            <o:lock v:ext="edit" aspectratio="f"/>
          </v:shape>
          <o:OLEObject Type="Embed" ProgID="Equation.DSMT4" ShapeID="_x0000_i1037" DrawAspect="Content" ObjectID="_1782815622" r:id="rId37"/>
        </w:object>
      </w:r>
      <w:r w:rsidR="00F86AAD">
        <w:t xml:space="preserve"> corresponds to the unobserved continuous natural logarithm of walking duration, which is observed in the coarse</w:t>
      </w:r>
      <w:r w:rsidR="00C037D9">
        <w:t>ly</w:t>
      </w:r>
      <w:r w:rsidR="00F86AAD">
        <w:t xml:space="preserve"> censor</w:t>
      </w:r>
      <w:r w:rsidR="00C037D9">
        <w:t xml:space="preserve">ed grouped form of </w:t>
      </w:r>
      <w:r w:rsidR="009E3EB3" w:rsidRPr="001E03BA">
        <w:rPr>
          <w:position w:val="-12"/>
        </w:rPr>
        <w:object w:dxaOrig="279" w:dyaOrig="360" w14:anchorId="3B1724AF">
          <v:shape id="_x0000_i1038" type="#_x0000_t75" style="width:13.7pt;height:18pt" o:ole="" o:preferrelative="f">
            <v:imagedata r:id="rId38" o:title=""/>
            <o:lock v:ext="edit" aspectratio="f"/>
          </v:shape>
          <o:OLEObject Type="Embed" ProgID="Equation.DSMT4" ShapeID="_x0000_i1038" DrawAspect="Content" ObjectID="_1782815623" r:id="rId39"/>
        </w:object>
      </w:r>
      <w:r w:rsidR="00C037D9">
        <w:t xml:space="preserve">), and the third is social </w:t>
      </w:r>
      <w:r w:rsidR="00CF0E17">
        <w:t xml:space="preserve">companionship </w:t>
      </w:r>
      <w:r w:rsidR="00C037D9">
        <w:t>(SC) (</w:t>
      </w:r>
      <w:r w:rsidR="009E3EB3" w:rsidRPr="001E03BA">
        <w:rPr>
          <w:position w:val="-12"/>
        </w:rPr>
        <w:object w:dxaOrig="279" w:dyaOrig="380" w14:anchorId="4ED6A602">
          <v:shape id="_x0000_i1039" type="#_x0000_t75" style="width:13.7pt;height:18.85pt" o:ole="" o:preferrelative="f">
            <v:imagedata r:id="rId40" o:title=""/>
            <o:lock v:ext="edit" aspectratio="f"/>
          </v:shape>
          <o:OLEObject Type="Embed" ProgID="Equation.DSMT4" ShapeID="_x0000_i1039" DrawAspect="Content" ObjectID="_1782815624" r:id="rId41"/>
        </w:object>
      </w:r>
      <w:r w:rsidR="00C037D9">
        <w:t xml:space="preserve"> is the underlying latent propensity for group walking that is mapped to the ordered-response outcome </w:t>
      </w:r>
      <w:r w:rsidR="009E3EB3" w:rsidRPr="001E03BA">
        <w:rPr>
          <w:position w:val="-12"/>
        </w:rPr>
        <w:object w:dxaOrig="279" w:dyaOrig="380" w14:anchorId="01E71CED">
          <v:shape id="_x0000_i1040" type="#_x0000_t75" style="width:13.7pt;height:18.85pt" o:ole="" o:preferrelative="f">
            <v:imagedata r:id="rId42" o:title=""/>
            <o:lock v:ext="edit" aspectratio="f"/>
          </v:shape>
          <o:OLEObject Type="Embed" ProgID="Equation.DSMT4" ShapeID="_x0000_i1040" DrawAspect="Content" ObjectID="_1782815625" r:id="rId43"/>
        </w:object>
      </w:r>
      <w:r w:rsidR="00C037D9">
        <w:t xml:space="preserve"> through the thresholds)</w:t>
      </w:r>
      <w:r w:rsidR="00CB420D">
        <w:rPr>
          <w:rFonts w:ascii="Times New Roman" w:hAnsi="Times New Roman"/>
          <w:szCs w:val="24"/>
        </w:rPr>
        <w:t>. T</w:t>
      </w:r>
      <w:r w:rsidR="00CB420D">
        <w:t xml:space="preserve">he </w:t>
      </w:r>
      <w:r w:rsidR="00571A71">
        <w:t>thresholds for th</w:t>
      </w:r>
      <w:r w:rsidR="00D66369">
        <w:t>e</w:t>
      </w:r>
      <w:r w:rsidR="00571A71">
        <w:t xml:space="preserve"> </w:t>
      </w:r>
      <w:r w:rsidR="00FB2CEB">
        <w:t>second</w:t>
      </w:r>
      <w:r w:rsidR="00571A71">
        <w:t xml:space="preserve"> outcome are</w:t>
      </w:r>
      <w:r w:rsidR="00571A71">
        <w:rPr>
          <w:rFonts w:eastAsiaTheme="minorEastAsia"/>
          <w:noProof/>
          <w:lang w:eastAsia="ko-KR"/>
        </w:rPr>
        <w:t xml:space="preserve"> </w:t>
      </w:r>
      <w:r w:rsidR="009E3EB3" w:rsidRPr="002C6FFE">
        <w:rPr>
          <w:position w:val="-12"/>
        </w:rPr>
        <w:object w:dxaOrig="900" w:dyaOrig="380" w14:anchorId="64E9D7D3">
          <v:shape id="_x0000_i1041" type="#_x0000_t75" style="width:45pt;height:18.85pt" o:ole="" o:preferrelative="f">
            <v:imagedata r:id="rId44" o:title=""/>
            <o:lock v:ext="edit" aspectratio="f"/>
          </v:shape>
          <o:OLEObject Type="Embed" ProgID="Equation.DSMT4" ShapeID="_x0000_i1041" DrawAspect="Content" ObjectID="_1782815626" r:id="rId45"/>
        </w:object>
      </w:r>
      <w:r w:rsidR="009E3EB3" w:rsidRPr="002C6FFE">
        <w:rPr>
          <w:position w:val="-12"/>
        </w:rPr>
        <w:object w:dxaOrig="1960" w:dyaOrig="380" w14:anchorId="7A09AC4A">
          <v:shape id="_x0000_i1042" type="#_x0000_t75" style="width:98.15pt;height:18.85pt" o:ole="" o:preferrelative="f">
            <v:imagedata r:id="rId46" o:title=""/>
            <o:lock v:ext="edit" aspectratio="f"/>
          </v:shape>
          <o:OLEObject Type="Embed" ProgID="Equation.DSMT4" ShapeID="_x0000_i1042" DrawAspect="Content" ObjectID="_1782815627" r:id="rId47"/>
        </w:object>
      </w:r>
      <w:r w:rsidR="00571A71">
        <w:t xml:space="preserve"> </w:t>
      </w:r>
      <w:r w:rsidR="009E3EB3" w:rsidRPr="002C6FFE">
        <w:rPr>
          <w:position w:val="-12"/>
        </w:rPr>
        <w:object w:dxaOrig="2000" w:dyaOrig="380" w14:anchorId="60238FA3">
          <v:shape id="_x0000_i1043" type="#_x0000_t75" style="width:99.85pt;height:18.85pt" o:ole="" o:preferrelative="f">
            <v:imagedata r:id="rId48" o:title=""/>
            <o:lock v:ext="edit" aspectratio="f"/>
          </v:shape>
          <o:OLEObject Type="Embed" ProgID="Equation.DSMT4" ShapeID="_x0000_i1043" DrawAspect="Content" ObjectID="_1782815628" r:id="rId49"/>
        </w:object>
      </w:r>
      <w:r w:rsidR="009E3EB3" w:rsidRPr="002C6FFE">
        <w:rPr>
          <w:position w:val="-12"/>
        </w:rPr>
        <w:object w:dxaOrig="2000" w:dyaOrig="380" w14:anchorId="4F4A4AB0">
          <v:shape id="_x0000_i1044" type="#_x0000_t75" style="width:99.85pt;height:18.85pt" o:ole="" o:preferrelative="f">
            <v:imagedata r:id="rId50" o:title=""/>
            <o:lock v:ext="edit" aspectratio="f"/>
          </v:shape>
          <o:OLEObject Type="Embed" ProgID="Equation.DSMT4" ShapeID="_x0000_i1044" DrawAspect="Content" ObjectID="_1782815629" r:id="rId51"/>
        </w:object>
      </w:r>
      <w:r w:rsidR="00571A71">
        <w:t xml:space="preserve">and </w:t>
      </w:r>
      <w:r w:rsidR="009E3EB3" w:rsidRPr="002C6FFE">
        <w:rPr>
          <w:position w:val="-12"/>
        </w:rPr>
        <w:object w:dxaOrig="880" w:dyaOrig="380" w14:anchorId="7020200B">
          <v:shape id="_x0000_i1045" type="#_x0000_t75" style="width:44.15pt;height:18.85pt" o:ole="" o:preferrelative="f">
            <v:imagedata r:id="rId52" o:title=""/>
            <o:lock v:ext="edit" aspectratio="f"/>
          </v:shape>
          <o:OLEObject Type="Embed" ProgID="Equation.DSMT4" ShapeID="_x0000_i1045" DrawAspect="Content" ObjectID="_1782815630" r:id="rId53"/>
        </w:object>
      </w:r>
      <w:r w:rsidR="00D66369">
        <w:t xml:space="preserve"> (the thresholds for the first and third outcomes are to be estimated). </w:t>
      </w:r>
      <w:r w:rsidR="00571A71">
        <w:rPr>
          <w:rFonts w:eastAsiaTheme="minorEastAsia" w:hint="eastAsia"/>
          <w:noProof/>
          <w:lang w:eastAsia="ko-KR"/>
        </w:rPr>
        <w:t xml:space="preserve"> </w:t>
      </w:r>
      <w:r w:rsidR="00571A71">
        <w:rPr>
          <w:rFonts w:eastAsiaTheme="minorEastAsia"/>
          <w:noProof/>
          <w:lang w:eastAsia="ko-KR"/>
        </w:rPr>
        <w:t xml:space="preserve">The </w:t>
      </w:r>
      <w:r w:rsidR="00CB420D">
        <w:t xml:space="preserve">variance of </w:t>
      </w:r>
      <w:r w:rsidR="009E3EB3" w:rsidRPr="00613B7F">
        <w:rPr>
          <w:position w:val="-12"/>
        </w:rPr>
        <w:object w:dxaOrig="260" w:dyaOrig="360" w14:anchorId="1D7B19C9">
          <v:shape id="_x0000_i1046" type="#_x0000_t75" style="width:12.85pt;height:18pt" o:ole="" o:preferrelative="f">
            <v:imagedata r:id="rId54" o:title=""/>
            <o:lock v:ext="edit" aspectratio="f"/>
          </v:shape>
          <o:OLEObject Type="Embed" ProgID="Equation.DSMT4" ShapeID="_x0000_i1046" DrawAspect="Content" ObjectID="_1782815631" r:id="rId55"/>
        </w:object>
      </w:r>
      <w:r w:rsidR="00CB420D">
        <w:t xml:space="preserve"> </w:t>
      </w:r>
      <w:r w:rsidR="00571A71">
        <w:t xml:space="preserve">(say </w:t>
      </w:r>
      <w:r w:rsidR="009E3EB3" w:rsidRPr="00613B7F">
        <w:rPr>
          <w:position w:val="-12"/>
        </w:rPr>
        <w:object w:dxaOrig="320" w:dyaOrig="380" w14:anchorId="5E0BB2DE">
          <v:shape id="_x0000_i1047" type="#_x0000_t75" style="width:15.85pt;height:18.85pt" o:ole="" o:preferrelative="f">
            <v:imagedata r:id="rId56" o:title=""/>
            <o:lock v:ext="edit" aspectratio="f"/>
          </v:shape>
          <o:OLEObject Type="Embed" ProgID="Equation.DSMT4" ShapeID="_x0000_i1047" DrawAspect="Content" ObjectID="_1782815632" r:id="rId57"/>
        </w:object>
      </w:r>
      <w:r w:rsidR="00571A71">
        <w:t xml:space="preserve">) </w:t>
      </w:r>
      <w:r w:rsidR="00CB420D">
        <w:t>is estimable, while the variance</w:t>
      </w:r>
      <w:r w:rsidR="00571A71">
        <w:t>s</w:t>
      </w:r>
      <w:r w:rsidR="00CB420D">
        <w:t xml:space="preserve"> of </w:t>
      </w:r>
      <w:r w:rsidR="009E3EB3" w:rsidRPr="001E03BA">
        <w:rPr>
          <w:position w:val="-14"/>
        </w:rPr>
        <w:object w:dxaOrig="960" w:dyaOrig="380" w14:anchorId="41C50777">
          <v:shape id="_x0000_i1048" type="#_x0000_t75" style="width:48pt;height:18.85pt" o:ole="" o:preferrelative="f">
            <v:imagedata r:id="rId58" o:title=""/>
            <o:lock v:ext="edit" aspectratio="f"/>
          </v:shape>
          <o:OLEObject Type="Embed" ProgID="Equation.DSMT4" ShapeID="_x0000_i1048" DrawAspect="Content" ObjectID="_1782815633" r:id="rId59"/>
        </w:object>
      </w:r>
      <w:r w:rsidR="00CB420D">
        <w:t xml:space="preserve"> </w:t>
      </w:r>
      <w:r w:rsidR="00571A71">
        <w:t xml:space="preserve">(for the ordered-response frequency and </w:t>
      </w:r>
      <w:r w:rsidR="00D66369">
        <w:t>SC</w:t>
      </w:r>
      <w:r w:rsidR="00571A71">
        <w:t xml:space="preserve"> outcomes) </w:t>
      </w:r>
      <w:r w:rsidR="00CB420D">
        <w:t>are normalized to one for identification purposes</w:t>
      </w:r>
      <w:r w:rsidR="00571A71">
        <w:t xml:space="preserve">. </w:t>
      </w:r>
      <w:r>
        <w:rPr>
          <w:rFonts w:eastAsiaTheme="minorEastAsia" w:hint="eastAsia"/>
          <w:noProof/>
          <w:lang w:eastAsia="ko-KR"/>
        </w:rPr>
        <w:t xml:space="preserve">The </w:t>
      </w:r>
      <w:r w:rsidR="009E3EB3" w:rsidRPr="005C237C">
        <w:rPr>
          <w:rFonts w:ascii="Times New Roman" w:hAnsi="Times New Roman"/>
          <w:position w:val="-12"/>
          <w:szCs w:val="24"/>
        </w:rPr>
        <w:object w:dxaOrig="240" w:dyaOrig="360" w14:anchorId="64D753D5">
          <v:shape id="_x0000_i1049" type="#_x0000_t75" style="width:12pt;height:18pt" o:ole="" o:preferrelative="f">
            <v:imagedata r:id="rId26" o:title=""/>
            <o:lock v:ext="edit" aspectratio="f"/>
          </v:shape>
          <o:OLEObject Type="Embed" ProgID="Equation.DSMT4" ShapeID="_x0000_i1049" DrawAspect="Content" ObjectID="_1782815634" r:id="rId60"/>
        </w:object>
      </w:r>
      <w:r w:rsidRPr="00870C03">
        <w:rPr>
          <w:rFonts w:ascii="Times New Roman" w:hAnsi="Times New Roman"/>
          <w:szCs w:val="24"/>
        </w:rPr>
        <w:t xml:space="preserve"> </w:t>
      </w:r>
      <w:r>
        <w:rPr>
          <w:rFonts w:eastAsiaTheme="minorEastAsia" w:hint="eastAsia"/>
          <w:noProof/>
          <w:lang w:eastAsia="ko-KR"/>
        </w:rPr>
        <w:t xml:space="preserve">terms </w:t>
      </w:r>
      <w:r w:rsidR="00BF4EDE">
        <w:rPr>
          <w:rFonts w:eastAsiaTheme="minorEastAsia"/>
          <w:noProof/>
          <w:lang w:eastAsia="ko-KR"/>
        </w:rPr>
        <w:t>are</w:t>
      </w:r>
      <w:r>
        <w:rPr>
          <w:rFonts w:eastAsiaTheme="minorEastAsia" w:hint="eastAsia"/>
          <w:noProof/>
          <w:lang w:eastAsia="ko-KR"/>
        </w:rPr>
        <w:t xml:space="preserve"> normalized to have zero mean</w:t>
      </w:r>
      <w:r w:rsidR="00FB2CEB">
        <w:rPr>
          <w:rFonts w:eastAsiaTheme="minorEastAsia"/>
          <w:noProof/>
          <w:lang w:eastAsia="ko-KR"/>
        </w:rPr>
        <w:t xml:space="preserve"> (this zero mean normalization implies that </w:t>
      </w:r>
      <w:r w:rsidR="00013084">
        <w:rPr>
          <w:rFonts w:eastAsiaTheme="minorEastAsia"/>
          <w:noProof/>
          <w:lang w:eastAsia="ko-KR"/>
        </w:rPr>
        <w:t xml:space="preserve">the </w:t>
      </w:r>
      <w:r w:rsidR="009E3EB3" w:rsidRPr="001E03BA">
        <w:rPr>
          <w:position w:val="-12"/>
        </w:rPr>
        <w:object w:dxaOrig="279" w:dyaOrig="380" w14:anchorId="741E018E">
          <v:shape id="_x0000_i1050" type="#_x0000_t75" style="width:13.7pt;height:18.85pt" o:ole="" o:preferrelative="f">
            <v:imagedata r:id="rId61" o:title=""/>
            <o:lock v:ext="edit" aspectratio="f"/>
          </v:shape>
          <o:OLEObject Type="Embed" ProgID="Equation.DSMT4" ShapeID="_x0000_i1050" DrawAspect="Content" ObjectID="_1782815635" r:id="rId62"/>
        </w:object>
      </w:r>
      <w:r w:rsidR="00013084">
        <w:t xml:space="preserve"> </w:t>
      </w:r>
      <w:r w:rsidR="00013084">
        <w:rPr>
          <w:rFonts w:eastAsiaTheme="minorEastAsia"/>
          <w:noProof/>
          <w:lang w:eastAsia="ko-KR"/>
        </w:rPr>
        <w:t xml:space="preserve">vector element on the constant in </w:t>
      </w:r>
      <w:r w:rsidR="009E3EB3" w:rsidRPr="00613B7F">
        <w:rPr>
          <w:position w:val="-4"/>
        </w:rPr>
        <w:object w:dxaOrig="200" w:dyaOrig="200" w14:anchorId="4E24C488">
          <v:shape id="_x0000_i1051" type="#_x0000_t75" style="width:9.85pt;height:9.85pt" o:ole="">
            <v:imagedata r:id="rId63" o:title=""/>
          </v:shape>
          <o:OLEObject Type="Embed" ProgID="Equation.DSMT4" ShapeID="_x0000_i1051" DrawAspect="Content" ObjectID="_1782815636" r:id="rId64"/>
        </w:object>
      </w:r>
      <w:r w:rsidR="00013084">
        <w:t xml:space="preserve"> </w:t>
      </w:r>
      <w:r w:rsidR="00013084">
        <w:rPr>
          <w:rFonts w:eastAsiaTheme="minorEastAsia"/>
          <w:noProof/>
          <w:lang w:eastAsia="ko-KR"/>
        </w:rPr>
        <w:t>for the duration outcome</w:t>
      </w:r>
      <w:r w:rsidR="00013084">
        <w:t xml:space="preserve"> needs to be estimated, while the corresponding </w:t>
      </w:r>
      <w:r w:rsidR="005C237C">
        <w:t xml:space="preserve"> </w:t>
      </w:r>
      <w:r w:rsidR="00013084" w:rsidRPr="001E03BA">
        <w:rPr>
          <w:position w:val="-12"/>
        </w:rPr>
        <w:object w:dxaOrig="260" w:dyaOrig="380" w14:anchorId="25012883">
          <v:shape id="_x0000_i1052" type="#_x0000_t75" style="width:13.3pt;height:18pt" o:ole="">
            <v:imagedata r:id="rId65" o:title=""/>
          </v:shape>
          <o:OLEObject Type="Embed" ProgID="Equation.DSMT4" ShapeID="_x0000_i1052" DrawAspect="Content" ObjectID="_1782815637" r:id="rId66"/>
        </w:object>
      </w:r>
      <w:r w:rsidR="00013084">
        <w:t xml:space="preserve"> and  </w:t>
      </w:r>
      <w:r w:rsidR="00013084" w:rsidRPr="001E03BA">
        <w:rPr>
          <w:position w:val="-12"/>
        </w:rPr>
        <w:object w:dxaOrig="260" w:dyaOrig="380" w14:anchorId="546FBE12">
          <v:shape id="_x0000_i1053" type="#_x0000_t75" style="width:13.3pt;height:18pt" o:ole="">
            <v:imagedata r:id="rId67" o:title=""/>
          </v:shape>
          <o:OLEObject Type="Embed" ProgID="Equation.DSMT4" ShapeID="_x0000_i1053" DrawAspect="Content" ObjectID="_1782815638" r:id="rId68"/>
        </w:object>
      </w:r>
      <w:r w:rsidR="00013084">
        <w:t xml:space="preserve"> </w:t>
      </w:r>
      <w:r w:rsidR="00013084">
        <w:rPr>
          <w:rFonts w:eastAsiaTheme="minorEastAsia"/>
          <w:noProof/>
          <w:lang w:eastAsia="ko-KR"/>
        </w:rPr>
        <w:t xml:space="preserve">vector elements on the constant in the </w:t>
      </w:r>
      <w:r w:rsidR="009E3EB3" w:rsidRPr="00613B7F">
        <w:rPr>
          <w:position w:val="-4"/>
        </w:rPr>
        <w:object w:dxaOrig="200" w:dyaOrig="200" w14:anchorId="5DDB9CA4">
          <v:shape id="_x0000_i1054" type="#_x0000_t75" style="width:9.85pt;height:9.85pt" o:ole="">
            <v:imagedata r:id="rId22" o:title=""/>
          </v:shape>
          <o:OLEObject Type="Embed" ProgID="Equation.DSMT4" ShapeID="_x0000_i1054" DrawAspect="Content" ObjectID="_1782815639" r:id="rId69"/>
        </w:object>
      </w:r>
      <w:r w:rsidR="00013084">
        <w:t xml:space="preserve"> </w:t>
      </w:r>
      <w:r w:rsidR="00013084">
        <w:rPr>
          <w:rFonts w:eastAsiaTheme="minorEastAsia"/>
          <w:noProof/>
          <w:lang w:eastAsia="ko-KR"/>
        </w:rPr>
        <w:t xml:space="preserve">vector element have to be normalized to zero, </w:t>
      </w:r>
      <w:r w:rsidR="00FB2CEB">
        <w:t xml:space="preserve">because the underlying locations of </w:t>
      </w:r>
      <w:r w:rsidR="005C237C" w:rsidRPr="00613B7F">
        <w:rPr>
          <w:position w:val="-12"/>
        </w:rPr>
        <w:object w:dxaOrig="279" w:dyaOrig="380" w14:anchorId="5DB7DA4D">
          <v:shape id="_x0000_i1055" type="#_x0000_t75" style="width:13.7pt;height:18pt" o:ole="">
            <v:imagedata r:id="rId70" o:title=""/>
          </v:shape>
          <o:OLEObject Type="Embed" ProgID="Equation.DSMT4" ShapeID="_x0000_i1055" DrawAspect="Content" ObjectID="_1782815640" r:id="rId71"/>
        </w:object>
      </w:r>
      <w:r w:rsidR="00FB2CEB">
        <w:t xml:space="preserve"> and  </w:t>
      </w:r>
      <w:r w:rsidR="005C237C" w:rsidRPr="00613B7F">
        <w:rPr>
          <w:position w:val="-12"/>
        </w:rPr>
        <w:object w:dxaOrig="279" w:dyaOrig="380" w14:anchorId="0CB50818">
          <v:shape id="_x0000_i1056" type="#_x0000_t75" style="width:13.7pt;height:18pt" o:ole="">
            <v:imagedata r:id="rId40" o:title=""/>
          </v:shape>
          <o:OLEObject Type="Embed" ProgID="Equation.DSMT4" ShapeID="_x0000_i1056" DrawAspect="Content" ObjectID="_1782815641" r:id="rId72"/>
        </w:object>
      </w:r>
      <w:r w:rsidR="00FB2CEB">
        <w:t xml:space="preserve"> for the ordered-response outcomes are not identifiable</w:t>
      </w:r>
      <w:r w:rsidR="00013084">
        <w:t>)</w:t>
      </w:r>
      <w:r w:rsidR="00571A71">
        <w:rPr>
          <w:rFonts w:eastAsiaTheme="minorEastAsia"/>
          <w:noProof/>
          <w:lang w:eastAsia="ko-KR"/>
        </w:rPr>
        <w:t>.</w:t>
      </w:r>
      <w:r>
        <w:rPr>
          <w:rFonts w:eastAsiaTheme="minorEastAsia" w:hint="eastAsia"/>
          <w:noProof/>
          <w:lang w:eastAsia="ko-KR"/>
        </w:rPr>
        <w:t xml:space="preserve"> The</w:t>
      </w:r>
      <w:r w:rsidR="00571A71">
        <w:rPr>
          <w:rFonts w:eastAsiaTheme="minorEastAsia"/>
          <w:noProof/>
          <w:lang w:eastAsia="ko-KR"/>
        </w:rPr>
        <w:t>n</w:t>
      </w:r>
      <w:r>
        <w:rPr>
          <w:rFonts w:eastAsiaTheme="minorEastAsia" w:hint="eastAsia"/>
          <w:noProof/>
          <w:lang w:eastAsia="ko-KR"/>
        </w:rPr>
        <w:t xml:space="preserve">, </w:t>
      </w:r>
      <w:r w:rsidR="009E3EB3" w:rsidRPr="005C237C">
        <w:rPr>
          <w:position w:val="-12"/>
        </w:rPr>
        <w:object w:dxaOrig="1740" w:dyaOrig="360" w14:anchorId="33B8053F">
          <v:shape id="_x0000_i1057" type="#_x0000_t75" style="width:87pt;height:18pt" o:ole="">
            <v:imagedata r:id="rId73" o:title=""/>
          </v:shape>
          <o:OLEObject Type="Embed" ProgID="Equation.DSMT4" ShapeID="_x0000_i1057" DrawAspect="Content" ObjectID="_1782815642" r:id="rId74"/>
        </w:object>
      </w:r>
      <w:r>
        <w:t xml:space="preserve"> follow</w:t>
      </w:r>
      <w:r w:rsidR="00BF4EDE">
        <w:t>s</w:t>
      </w:r>
      <w:r>
        <w:t xml:space="preserve"> a </w:t>
      </w:r>
      <w:r w:rsidRPr="00E22EAB">
        <w:t>multivariate normal distribution</w:t>
      </w:r>
      <w:r>
        <w:t xml:space="preserve"> with an </w:t>
      </w:r>
      <w:r w:rsidRPr="00870C03">
        <w:rPr>
          <w:rFonts w:ascii="Times New Roman" w:hAnsi="Times New Roman"/>
          <w:szCs w:val="24"/>
        </w:rPr>
        <w:t>(</w:t>
      </w:r>
      <w:r>
        <w:rPr>
          <w:rFonts w:ascii="Times New Roman" w:hAnsi="Times New Roman"/>
          <w:i/>
          <w:szCs w:val="24"/>
        </w:rPr>
        <w:t>I</w:t>
      </w:r>
      <w:r w:rsidRPr="00870C03">
        <w:rPr>
          <w:rFonts w:ascii="Times New Roman" w:hAnsi="Times New Roman"/>
          <w:i/>
          <w:szCs w:val="24"/>
        </w:rPr>
        <w:t>×</w:t>
      </w:r>
      <w:r w:rsidRPr="00870C03">
        <w:rPr>
          <w:rFonts w:ascii="Times New Roman" w:hAnsi="Times New Roman"/>
          <w:szCs w:val="24"/>
        </w:rPr>
        <w:t>1)</w:t>
      </w:r>
      <w:r w:rsidRPr="00F22B45">
        <w:rPr>
          <w:rFonts w:eastAsiaTheme="minorEastAsia" w:hint="eastAsia"/>
          <w:lang w:eastAsia="ko-KR"/>
        </w:rPr>
        <w:t xml:space="preserve"> </w:t>
      </w:r>
      <w:r>
        <w:t xml:space="preserve">mean vector of zeros </w:t>
      </w:r>
      <w:r w:rsidRPr="002C6FFE">
        <w:rPr>
          <w:position w:val="-12"/>
        </w:rPr>
        <w:object w:dxaOrig="260" w:dyaOrig="360" w14:anchorId="35AE06D2">
          <v:shape id="_x0000_i1058" type="#_x0000_t75" style="width:13.3pt;height:18pt" o:ole="">
            <v:imagedata r:id="rId75" o:title=""/>
          </v:shape>
          <o:OLEObject Type="Embed" ProgID="Equation.DSMT4" ShapeID="_x0000_i1058" DrawAspect="Content" ObjectID="_1782815643" r:id="rId76"/>
        </w:object>
      </w:r>
      <w:r>
        <w:t xml:space="preserve"> and an </w:t>
      </w:r>
      <w:r w:rsidRPr="00870C03">
        <w:rPr>
          <w:rFonts w:ascii="Times New Roman" w:hAnsi="Times New Roman"/>
          <w:szCs w:val="24"/>
        </w:rPr>
        <w:t>(</w:t>
      </w:r>
      <w:r>
        <w:rPr>
          <w:rFonts w:ascii="Times New Roman" w:hAnsi="Times New Roman"/>
          <w:i/>
          <w:szCs w:val="24"/>
        </w:rPr>
        <w:t>I</w:t>
      </w:r>
      <w:r w:rsidRPr="00870C03">
        <w:rPr>
          <w:rFonts w:ascii="Times New Roman" w:hAnsi="Times New Roman"/>
          <w:i/>
          <w:szCs w:val="24"/>
        </w:rPr>
        <w:t>×</w:t>
      </w:r>
      <w:r w:rsidRPr="002C6FFE">
        <w:rPr>
          <w:rFonts w:ascii="Times New Roman" w:hAnsi="Times New Roman"/>
          <w:i/>
          <w:iCs/>
          <w:szCs w:val="24"/>
        </w:rPr>
        <w:t>I</w:t>
      </w:r>
      <w:r w:rsidRPr="00870C03">
        <w:rPr>
          <w:rFonts w:ascii="Times New Roman" w:hAnsi="Times New Roman"/>
          <w:szCs w:val="24"/>
        </w:rPr>
        <w:t>)</w:t>
      </w:r>
      <w:r>
        <w:rPr>
          <w:rFonts w:eastAsiaTheme="minorEastAsia" w:hint="eastAsia"/>
          <w:noProof/>
          <w:lang w:eastAsia="ko-KR"/>
        </w:rPr>
        <w:t xml:space="preserve"> </w:t>
      </w:r>
      <w:r>
        <w:rPr>
          <w:rFonts w:eastAsiaTheme="minorEastAsia"/>
          <w:noProof/>
          <w:lang w:eastAsia="ko-KR"/>
        </w:rPr>
        <w:t>covariance</w:t>
      </w:r>
      <w:r>
        <w:rPr>
          <w:rFonts w:eastAsiaTheme="minorEastAsia" w:hint="eastAsia"/>
          <w:noProof/>
          <w:lang w:eastAsia="ko-KR"/>
        </w:rPr>
        <w:t xml:space="preserve"> matrix</w:t>
      </w:r>
      <w:r>
        <w:rPr>
          <w:rFonts w:eastAsiaTheme="minorEastAsia"/>
          <w:noProof/>
          <w:lang w:eastAsia="ko-KR"/>
        </w:rPr>
        <w:t xml:space="preserve"> </w:t>
      </w:r>
      <w:r w:rsidRPr="00870C03">
        <w:rPr>
          <w:rFonts w:ascii="Times New Roman" w:hAnsi="Times New Roman"/>
          <w:b/>
          <w:szCs w:val="24"/>
        </w:rPr>
        <w:t>Σ</w:t>
      </w:r>
      <w:r w:rsidR="00FB2CEB">
        <w:rPr>
          <w:rFonts w:ascii="Times New Roman" w:hAnsi="Times New Roman"/>
          <w:bCs/>
          <w:szCs w:val="24"/>
        </w:rPr>
        <w:t xml:space="preserve">, </w:t>
      </w:r>
      <w:r w:rsidRPr="0070427B">
        <w:rPr>
          <w:rFonts w:ascii="Times New Roman" w:hAnsi="Times New Roman"/>
          <w:bCs/>
          <w:szCs w:val="24"/>
        </w:rPr>
        <w:t>as</w:t>
      </w:r>
      <w:r>
        <w:rPr>
          <w:rFonts w:ascii="Times New Roman" w:hAnsi="Times New Roman"/>
          <w:b/>
          <w:szCs w:val="24"/>
        </w:rPr>
        <w:t xml:space="preserve"> </w:t>
      </w:r>
      <w:r w:rsidR="00FB2CEB" w:rsidRPr="00360CE2">
        <w:rPr>
          <w:rFonts w:ascii="Times New Roman" w:hAnsi="Times New Roman"/>
          <w:bCs/>
          <w:szCs w:val="24"/>
        </w:rPr>
        <w:t>follows</w:t>
      </w:r>
      <w:r w:rsidR="009E1BF4" w:rsidRPr="00360CE2">
        <w:rPr>
          <w:rFonts w:ascii="Times New Roman" w:hAnsi="Times New Roman"/>
          <w:bCs/>
          <w:szCs w:val="24"/>
        </w:rPr>
        <w:t xml:space="preserve"> (for our empirical application)</w:t>
      </w:r>
      <w:r w:rsidR="00FB2CEB" w:rsidRPr="00360CE2">
        <w:rPr>
          <w:rFonts w:ascii="Times New Roman" w:hAnsi="Times New Roman"/>
          <w:bCs/>
          <w:szCs w:val="24"/>
        </w:rPr>
        <w:t>:</w:t>
      </w:r>
    </w:p>
    <w:p w14:paraId="0EA6E862" w14:textId="08C3B1C0" w:rsidR="00D92A43" w:rsidRDefault="009E3EB3" w:rsidP="000D4062">
      <w:pPr>
        <w:spacing w:before="60" w:after="60"/>
        <w:jc w:val="both"/>
        <w:rPr>
          <w:rFonts w:eastAsiaTheme="minorEastAsia"/>
          <w:noProof/>
          <w:lang w:eastAsia="ko-KR"/>
        </w:rPr>
      </w:pPr>
      <w:r w:rsidRPr="005C237C">
        <w:rPr>
          <w:rFonts w:ascii="Times New Roman" w:hAnsi="Times New Roman"/>
          <w:position w:val="-52"/>
          <w:szCs w:val="24"/>
        </w:rPr>
        <w:object w:dxaOrig="6759" w:dyaOrig="1160" w14:anchorId="70488452">
          <v:shape id="_x0000_i1059" type="#_x0000_t75" style="width:337.7pt;height:57.85pt" o:ole="">
            <v:imagedata r:id="rId77" o:title=""/>
          </v:shape>
          <o:OLEObject Type="Embed" ProgID="Equation.DSMT4" ShapeID="_x0000_i1059" DrawAspect="Content" ObjectID="_1782815644" r:id="rId78"/>
        </w:object>
      </w:r>
    </w:p>
    <w:p w14:paraId="2E1DA54D" w14:textId="5EB05297" w:rsidR="00D92A43" w:rsidRPr="004B0C88" w:rsidRDefault="00D66369" w:rsidP="003518AB">
      <w:pPr>
        <w:jc w:val="both"/>
      </w:pPr>
      <w:r w:rsidRPr="001E03BA">
        <w:rPr>
          <w:position w:val="-12"/>
        </w:rPr>
        <w:object w:dxaOrig="360" w:dyaOrig="360" w14:anchorId="3760D242">
          <v:shape id="_x0000_i1060" type="#_x0000_t75" style="width:18pt;height:18pt" o:ole="">
            <v:imagedata r:id="rId79" o:title=""/>
          </v:shape>
          <o:OLEObject Type="Embed" ProgID="Equation.DSMT4" ShapeID="_x0000_i1060" DrawAspect="Content" ObjectID="_1782815645" r:id="rId80"/>
        </w:object>
      </w:r>
      <w:r>
        <w:t xml:space="preserve"> corresponds to the correlation in the error terms underlying the latent continuous variables between the frequency and duration outcomes, </w:t>
      </w:r>
      <w:r w:rsidRPr="001E03BA">
        <w:rPr>
          <w:position w:val="-12"/>
        </w:rPr>
        <w:object w:dxaOrig="340" w:dyaOrig="360" w14:anchorId="4D7F11A1">
          <v:shape id="_x0000_i1061" type="#_x0000_t75" style="width:16.7pt;height:18pt" o:ole="">
            <v:imagedata r:id="rId81" o:title=""/>
          </v:shape>
          <o:OLEObject Type="Embed" ProgID="Equation.DSMT4" ShapeID="_x0000_i1061" DrawAspect="Content" ObjectID="_1782815646" r:id="rId82"/>
        </w:object>
      </w:r>
      <w:r>
        <w:t xml:space="preserve"> is the corresponding correlation between the </w:t>
      </w:r>
      <w:r>
        <w:lastRenderedPageBreak/>
        <w:t xml:space="preserve">frequency and SC outcomes, and </w:t>
      </w:r>
      <w:r w:rsidRPr="001E03BA">
        <w:rPr>
          <w:position w:val="-12"/>
        </w:rPr>
        <w:object w:dxaOrig="360" w:dyaOrig="360" w14:anchorId="650ADE63">
          <v:shape id="_x0000_i1062" type="#_x0000_t75" style="width:18pt;height:18pt" o:ole="">
            <v:imagedata r:id="rId83" o:title=""/>
          </v:shape>
          <o:OLEObject Type="Embed" ProgID="Equation.DSMT4" ShapeID="_x0000_i1062" DrawAspect="Content" ObjectID="_1782815647" r:id="rId84"/>
        </w:object>
      </w:r>
      <w:r w:rsidR="00F55DF2">
        <w:t xml:space="preserve"> is</w:t>
      </w:r>
      <w:r>
        <w:t xml:space="preserve"> the corresponding correlation between the duration and SC outcomes. </w:t>
      </w:r>
      <w:r w:rsidR="00D92A43">
        <w:t xml:space="preserve">Collapsing this formulation into matrix notation, let </w:t>
      </w:r>
      <w:r w:rsidR="009E3EB3" w:rsidRPr="007F18E6">
        <w:rPr>
          <w:position w:val="-12"/>
        </w:rPr>
        <w:object w:dxaOrig="1740" w:dyaOrig="360" w14:anchorId="1CF8D2A9">
          <v:shape id="_x0000_i1063" type="#_x0000_t75" style="width:87pt;height:18pt" o:ole="">
            <v:imagedata r:id="rId85" o:title=""/>
          </v:shape>
          <o:OLEObject Type="Embed" ProgID="Equation.DSMT4" ShapeID="_x0000_i1063" DrawAspect="Content" ObjectID="_1782815648" r:id="rId86"/>
        </w:object>
      </w:r>
      <w:r w:rsidR="00D92A43" w:rsidRPr="00372023">
        <w:t xml:space="preserve"> </w:t>
      </w:r>
      <w:r w:rsidR="00D92A43">
        <w:t>[</w:t>
      </w:r>
      <w:r w:rsidR="00D92A43">
        <w:rPr>
          <w:noProof/>
        </w:rPr>
        <w:t>(</w:t>
      </w:r>
      <w:r w:rsidR="00D92A43">
        <w:rPr>
          <w:i/>
        </w:rPr>
        <w:t>I</w:t>
      </w:r>
      <w:r w:rsidR="00D92A43" w:rsidRPr="004B0C88">
        <w:rPr>
          <w:i/>
        </w:rPr>
        <w:t>×</w:t>
      </w:r>
      <w:r w:rsidR="00D92A43" w:rsidRPr="006312A4">
        <w:rPr>
          <w:i/>
          <w:iCs/>
        </w:rPr>
        <w:t>L</w:t>
      </w:r>
      <w:r w:rsidR="00D92A43">
        <w:rPr>
          <w:noProof/>
        </w:rPr>
        <w:t>)</w:t>
      </w:r>
      <w:r w:rsidR="00D92A43">
        <w:t xml:space="preserve"> </w:t>
      </w:r>
      <w:r w:rsidR="00D92A43" w:rsidRPr="004B0C88">
        <w:rPr>
          <w:noProof/>
        </w:rPr>
        <w:t>matrix</w:t>
      </w:r>
      <w:r w:rsidR="00D92A43">
        <w:rPr>
          <w:noProof/>
        </w:rPr>
        <w:t xml:space="preserve">]. Also, </w:t>
      </w:r>
      <w:r w:rsidR="00D92A43">
        <w:t>define the vector of thresholds for each outcome variable</w:t>
      </w:r>
      <w:r w:rsidR="00D92A43">
        <w:rPr>
          <w:rFonts w:eastAsiaTheme="minorEastAsia"/>
          <w:noProof/>
          <w:lang w:eastAsia="ko-KR"/>
        </w:rPr>
        <w:t xml:space="preserve"> </w:t>
      </w:r>
      <w:r w:rsidR="009E3EB3" w:rsidRPr="002C6FFE">
        <w:rPr>
          <w:position w:val="-14"/>
        </w:rPr>
        <w:object w:dxaOrig="2220" w:dyaOrig="380" w14:anchorId="10B6670D">
          <v:shape id="_x0000_i1064" type="#_x0000_t75" style="width:111pt;height:18.85pt" o:ole="" o:preferrelative="f">
            <v:imagedata r:id="rId87" o:title=""/>
            <o:lock v:ext="edit" aspectratio="f"/>
          </v:shape>
          <o:OLEObject Type="Embed" ProgID="Equation.DSMT4" ShapeID="_x0000_i1064" DrawAspect="Content" ObjectID="_1782815649" r:id="rId88"/>
        </w:object>
      </w:r>
      <w:r w:rsidR="00D92A43">
        <w:t xml:space="preserve"> and vertically stack all </w:t>
      </w:r>
      <w:r w:rsidR="009E3EB3" w:rsidRPr="002C6FFE">
        <w:rPr>
          <w:position w:val="-12"/>
        </w:rPr>
        <w:object w:dxaOrig="240" w:dyaOrig="360" w14:anchorId="409C2667">
          <v:shape id="_x0000_i1065" type="#_x0000_t75" style="width:12pt;height:18pt" o:ole="" o:preferrelative="f">
            <v:imagedata r:id="rId89" o:title=""/>
            <o:lock v:ext="edit" aspectratio="f"/>
          </v:shape>
          <o:OLEObject Type="Embed" ProgID="Equation.DSMT4" ShapeID="_x0000_i1065" DrawAspect="Content" ObjectID="_1782815650" r:id="rId90"/>
        </w:object>
      </w:r>
      <w:r w:rsidR="009E1BF4">
        <w:t xml:space="preserve"> </w:t>
      </w:r>
      <w:r w:rsidR="00D92A43">
        <w:t xml:space="preserve">vectors </w:t>
      </w:r>
      <w:r w:rsidR="009E1BF4">
        <w:t>for the ordered-response outcomes (</w:t>
      </w:r>
      <w:r w:rsidR="009E1BF4" w:rsidRPr="00786FB6">
        <w:rPr>
          <w:i/>
          <w:iCs/>
        </w:rPr>
        <w:t>i</w:t>
      </w:r>
      <w:r w:rsidR="009E1BF4">
        <w:t xml:space="preserve">=1 and </w:t>
      </w:r>
      <w:r w:rsidR="009E1BF4" w:rsidRPr="00786FB6">
        <w:rPr>
          <w:i/>
          <w:iCs/>
        </w:rPr>
        <w:t>i</w:t>
      </w:r>
      <w:r w:rsidR="009E1BF4">
        <w:t xml:space="preserve">=3 for our empirical analysis) </w:t>
      </w:r>
      <w:r w:rsidR="00D92A43">
        <w:t xml:space="preserve">into a single vector </w:t>
      </w:r>
      <w:r w:rsidR="003964C4" w:rsidRPr="002C6FFE">
        <w:rPr>
          <w:position w:val="-6"/>
        </w:rPr>
        <w:object w:dxaOrig="200" w:dyaOrig="340" w14:anchorId="417A1E9A">
          <v:shape id="_x0000_i1066" type="#_x0000_t75" style="width:9.85pt;height:17.15pt" o:ole="" o:preferrelative="f">
            <v:imagedata r:id="rId91" o:title=""/>
            <o:lock v:ext="edit" aspectratio="f"/>
          </v:shape>
          <o:OLEObject Type="Embed" ProgID="Equation.DSMT4" ShapeID="_x0000_i1066" DrawAspect="Content" ObjectID="_1782815651" r:id="rId92"/>
        </w:object>
      </w:r>
      <w:r w:rsidR="000E6840">
        <w:t>.</w:t>
      </w:r>
      <w:r w:rsidR="00D92A43">
        <w:t xml:space="preserve"> </w:t>
      </w:r>
      <w:r w:rsidR="00D92A43">
        <w:rPr>
          <w:noProof/>
        </w:rPr>
        <w:t>L</w:t>
      </w:r>
      <w:r w:rsidR="00D92A43" w:rsidRPr="004B0C88">
        <w:rPr>
          <w:noProof/>
        </w:rPr>
        <w:t xml:space="preserve">et </w:t>
      </w:r>
      <w:r w:rsidR="005C237C">
        <w:rPr>
          <w:noProof/>
        </w:rPr>
        <w:t xml:space="preserve">the </w:t>
      </w:r>
      <w:r w:rsidR="00D92A43" w:rsidRPr="004B0C88">
        <w:rPr>
          <w:noProof/>
        </w:rPr>
        <w:t xml:space="preserve">individual under consideration </w:t>
      </w:r>
      <w:r w:rsidR="00E1138F">
        <w:rPr>
          <w:noProof/>
        </w:rPr>
        <w:t xml:space="preserve">select level </w:t>
      </w:r>
      <w:r w:rsidR="00D92A43" w:rsidRPr="002C6FFE">
        <w:rPr>
          <w:i/>
          <w:iCs/>
          <w:noProof/>
        </w:rPr>
        <w:t>k</w:t>
      </w:r>
      <w:r w:rsidR="00D92A43" w:rsidRPr="002C6FFE">
        <w:rPr>
          <w:i/>
          <w:iCs/>
          <w:noProof/>
          <w:vertAlign w:val="subscript"/>
        </w:rPr>
        <w:t>i</w:t>
      </w:r>
      <w:r w:rsidR="00D92A43" w:rsidRPr="004B0C88">
        <w:rPr>
          <w:noProof/>
        </w:rPr>
        <w:t xml:space="preserve"> </w:t>
      </w:r>
      <w:r w:rsidR="00D92A43">
        <w:rPr>
          <w:noProof/>
        </w:rPr>
        <w:t>(</w:t>
      </w:r>
      <w:r w:rsidR="00D92A43">
        <w:rPr>
          <w:i/>
          <w:iCs/>
          <w:noProof/>
        </w:rPr>
        <w:t>i</w:t>
      </w:r>
      <w:r w:rsidR="00D92A43">
        <w:rPr>
          <w:noProof/>
        </w:rPr>
        <w:t xml:space="preserve"> = 1,2,.., </w:t>
      </w:r>
      <w:r w:rsidR="00D92A43" w:rsidRPr="002C6FFE">
        <w:rPr>
          <w:i/>
          <w:iCs/>
          <w:noProof/>
        </w:rPr>
        <w:t>I</w:t>
      </w:r>
      <w:r w:rsidR="00D92A43">
        <w:rPr>
          <w:noProof/>
        </w:rPr>
        <w:t>).</w:t>
      </w:r>
      <w:r w:rsidR="00D92A43" w:rsidRPr="004B0C88">
        <w:t xml:space="preserve"> </w:t>
      </w:r>
      <w:r w:rsidR="009E1BF4">
        <w:rPr>
          <w:noProof/>
        </w:rPr>
        <w:t>S</w:t>
      </w:r>
      <w:r w:rsidR="00D92A43" w:rsidRPr="004B0C88">
        <w:rPr>
          <w:noProof/>
        </w:rPr>
        <w:t xml:space="preserve">tack the lower thresholds </w:t>
      </w:r>
      <w:r w:rsidR="009E3EB3" w:rsidRPr="007F18E6">
        <w:rPr>
          <w:position w:val="-18"/>
        </w:rPr>
        <w:object w:dxaOrig="540" w:dyaOrig="420" w14:anchorId="04F4C3FA">
          <v:shape id="_x0000_i1067" type="#_x0000_t75" style="width:27pt;height:21pt" o:ole="" o:preferrelative="f">
            <v:imagedata r:id="rId93" o:title=""/>
            <o:lock v:ext="edit" aspectratio="f"/>
          </v:shape>
          <o:OLEObject Type="Embed" ProgID="Equation.DSMT4" ShapeID="_x0000_i1067" DrawAspect="Content" ObjectID="_1782815652" r:id="rId94"/>
        </w:object>
      </w:r>
      <w:r w:rsidR="00D92A43" w:rsidRPr="004B0C88">
        <w:t xml:space="preserve"> </w:t>
      </w:r>
      <w:r w:rsidR="00D92A43" w:rsidRPr="004B0C88">
        <w:rPr>
          <w:noProof/>
        </w:rPr>
        <w:t>corresponding to the observed</w:t>
      </w:r>
      <w:r w:rsidR="00D92A43">
        <w:rPr>
          <w:noProof/>
        </w:rPr>
        <w:t xml:space="preserve"> </w:t>
      </w:r>
      <w:r w:rsidR="00D92A43" w:rsidRPr="004B0C88">
        <w:rPr>
          <w:noProof/>
        </w:rPr>
        <w:t>values of the individual into a</w:t>
      </w:r>
      <w:r w:rsidR="00D92A43">
        <w:rPr>
          <w:noProof/>
        </w:rPr>
        <w:t>n (</w:t>
      </w:r>
      <w:r w:rsidR="00D92A43">
        <w:rPr>
          <w:i/>
        </w:rPr>
        <w:t>I</w:t>
      </w:r>
      <w:r w:rsidR="00D92A43" w:rsidRPr="004B0C88">
        <w:rPr>
          <w:i/>
        </w:rPr>
        <w:t>×</w:t>
      </w:r>
      <w:r w:rsidR="00D92A43" w:rsidRPr="004B0C88">
        <w:t>1</w:t>
      </w:r>
      <w:r w:rsidR="00D92A43">
        <w:rPr>
          <w:noProof/>
        </w:rPr>
        <w:t>)</w:t>
      </w:r>
      <w:r w:rsidR="00D92A43">
        <w:t xml:space="preserve"> </w:t>
      </w:r>
      <w:r w:rsidR="00D92A43" w:rsidRPr="004B0C88">
        <w:rPr>
          <w:noProof/>
        </w:rPr>
        <w:t>vector</w:t>
      </w:r>
      <w:r w:rsidR="00D92A43">
        <w:rPr>
          <w:noProof/>
        </w:rPr>
        <w:t xml:space="preserve"> </w:t>
      </w:r>
      <w:r w:rsidR="000E6840" w:rsidRPr="0070427B">
        <w:rPr>
          <w:position w:val="-12"/>
        </w:rPr>
        <w:object w:dxaOrig="480" w:dyaOrig="360" w14:anchorId="3D0F12FB">
          <v:shape id="_x0000_i1068" type="#_x0000_t75" style="width:23.15pt;height:18pt" o:ole="" o:preferrelative="f">
            <v:imagedata r:id="rId95" o:title=""/>
            <o:lock v:ext="edit" aspectratio="f"/>
          </v:shape>
          <o:OLEObject Type="Embed" ProgID="Equation.DSMT4" ShapeID="_x0000_i1068" DrawAspect="Content" ObjectID="_1782815653" r:id="rId96"/>
        </w:object>
      </w:r>
      <w:r w:rsidR="00D92A43" w:rsidRPr="004B0C88">
        <w:rPr>
          <w:noProof/>
          <w:position w:val="-12"/>
        </w:rPr>
        <w:t xml:space="preserve"> </w:t>
      </w:r>
      <w:r w:rsidR="00D92A43" w:rsidRPr="004B0C88">
        <w:rPr>
          <w:noProof/>
        </w:rPr>
        <w:t>and the upper thresholds</w:t>
      </w:r>
      <w:r w:rsidR="00D92A43">
        <w:rPr>
          <w:noProof/>
        </w:rPr>
        <w:t xml:space="preserve"> </w:t>
      </w:r>
      <w:r w:rsidR="000E6840" w:rsidRPr="00D22A5B">
        <w:rPr>
          <w:position w:val="-18"/>
        </w:rPr>
        <w:object w:dxaOrig="400" w:dyaOrig="420" w14:anchorId="0657F3C4">
          <v:shape id="_x0000_i1069" type="#_x0000_t75" style="width:20.15pt;height:21pt" o:ole="" o:preferrelative="f">
            <v:imagedata r:id="rId97" o:title=""/>
            <o:lock v:ext="edit" aspectratio="f"/>
          </v:shape>
          <o:OLEObject Type="Embed" ProgID="Equation.DSMT4" ShapeID="_x0000_i1069" DrawAspect="Content" ObjectID="_1782815654" r:id="rId98"/>
        </w:object>
      </w:r>
      <w:r w:rsidR="00D92A43" w:rsidRPr="004B0C88">
        <w:t xml:space="preserve"> </w:t>
      </w:r>
      <w:r w:rsidR="00D92A43" w:rsidRPr="004B0C88">
        <w:rPr>
          <w:noProof/>
        </w:rPr>
        <w:t xml:space="preserve">into another </w:t>
      </w:r>
      <w:r w:rsidR="00D92A43">
        <w:rPr>
          <w:noProof/>
        </w:rPr>
        <w:t>(</w:t>
      </w:r>
      <w:r w:rsidR="00D92A43">
        <w:rPr>
          <w:i/>
        </w:rPr>
        <w:t>I</w:t>
      </w:r>
      <w:r w:rsidR="00D92A43" w:rsidRPr="004B0C88">
        <w:rPr>
          <w:i/>
        </w:rPr>
        <w:t>×</w:t>
      </w:r>
      <w:r w:rsidR="00D92A43" w:rsidRPr="004B0C88">
        <w:t>1</w:t>
      </w:r>
      <w:r w:rsidR="00D92A43">
        <w:rPr>
          <w:noProof/>
        </w:rPr>
        <w:t>)</w:t>
      </w:r>
      <w:r w:rsidR="00D92A43">
        <w:t xml:space="preserve"> </w:t>
      </w:r>
      <w:r w:rsidR="00D92A43" w:rsidRPr="004B0C88">
        <w:rPr>
          <w:noProof/>
        </w:rPr>
        <w:t>vector</w:t>
      </w:r>
      <w:r w:rsidR="00D92A43">
        <w:rPr>
          <w:noProof/>
        </w:rPr>
        <w:t xml:space="preserve"> </w:t>
      </w:r>
      <w:r w:rsidR="009E3EB3" w:rsidRPr="00D22A5B">
        <w:rPr>
          <w:position w:val="-14"/>
        </w:rPr>
        <w:object w:dxaOrig="520" w:dyaOrig="380" w14:anchorId="772F4BBD">
          <v:shape id="_x0000_i1070" type="#_x0000_t75" style="width:26.15pt;height:18.85pt" o:ole="" o:preferrelative="f">
            <v:imagedata r:id="rId99" o:title=""/>
            <o:lock v:ext="edit" aspectratio="f"/>
          </v:shape>
          <o:OLEObject Type="Embed" ProgID="Equation.DSMT4" ShapeID="_x0000_i1070" DrawAspect="Content" ObjectID="_1782815655" r:id="rId100"/>
        </w:object>
      </w:r>
      <w:r w:rsidR="00D92A43" w:rsidRPr="004B0C88">
        <w:rPr>
          <w:noProof/>
        </w:rPr>
        <w:t xml:space="preserve"> </w:t>
      </w:r>
      <w:r w:rsidR="009E1BF4">
        <w:rPr>
          <w:noProof/>
        </w:rPr>
        <w:t xml:space="preserve">Also, stack the </w:t>
      </w:r>
      <w:r w:rsidR="009E3EB3" w:rsidRPr="00613B7F">
        <w:rPr>
          <w:position w:val="-12"/>
        </w:rPr>
        <w:object w:dxaOrig="279" w:dyaOrig="380" w14:anchorId="05B44514">
          <v:shape id="_x0000_i1071" type="#_x0000_t75" style="width:13.7pt;height:18.85pt" o:ole="" o:preferrelative="f">
            <v:imagedata r:id="rId101" o:title=""/>
            <o:lock v:ext="edit" aspectratio="f"/>
          </v:shape>
          <o:OLEObject Type="Embed" ProgID="Equation.DSMT4" ShapeID="_x0000_i1071" DrawAspect="Content" ObjectID="_1782815656" r:id="rId102"/>
        </w:object>
      </w:r>
      <w:r w:rsidR="009E1BF4" w:rsidRPr="004B0C88">
        <w:rPr>
          <w:noProof/>
        </w:rPr>
        <w:t xml:space="preserve"> </w:t>
      </w:r>
      <w:r w:rsidR="009E1BF4">
        <w:rPr>
          <w:noProof/>
        </w:rPr>
        <w:t>latent variables into an (</w:t>
      </w:r>
      <w:r w:rsidR="009E1BF4">
        <w:rPr>
          <w:rFonts w:ascii="Times New Roman" w:hAnsi="Times New Roman"/>
          <w:i/>
          <w:szCs w:val="24"/>
        </w:rPr>
        <w:t>I</w:t>
      </w:r>
      <w:r w:rsidR="009E1BF4" w:rsidRPr="00870C03">
        <w:rPr>
          <w:rFonts w:ascii="Times New Roman" w:hAnsi="Times New Roman"/>
          <w:i/>
          <w:szCs w:val="24"/>
        </w:rPr>
        <w:t>×</w:t>
      </w:r>
      <w:r w:rsidR="009E1BF4" w:rsidRPr="00870C03">
        <w:rPr>
          <w:rFonts w:ascii="Times New Roman" w:hAnsi="Times New Roman"/>
          <w:szCs w:val="24"/>
        </w:rPr>
        <w:t>1)</w:t>
      </w:r>
      <w:r w:rsidR="009E1BF4">
        <w:rPr>
          <w:noProof/>
        </w:rPr>
        <w:t xml:space="preserve"> vector </w:t>
      </w:r>
      <w:r w:rsidR="009E3EB3" w:rsidRPr="009110A4">
        <w:rPr>
          <w:position w:val="-12"/>
        </w:rPr>
        <w:object w:dxaOrig="279" w:dyaOrig="380" w14:anchorId="4BF3E4B2">
          <v:shape id="_x0000_i1072" type="#_x0000_t75" style="width:13.7pt;height:18.85pt" o:ole="" o:preferrelative="f">
            <v:imagedata r:id="rId103" o:title=""/>
            <o:lock v:ext="edit" aspectratio="f"/>
          </v:shape>
          <o:OLEObject Type="Embed" ProgID="Equation.DSMT4" ShapeID="_x0000_i1072" DrawAspect="Content" ObjectID="_1782815657" r:id="rId104"/>
        </w:object>
      </w:r>
      <w:r w:rsidR="009E1BF4">
        <w:t xml:space="preserve">. </w:t>
      </w:r>
      <w:r w:rsidR="00D92A43" w:rsidRPr="004B0C88">
        <w:rPr>
          <w:noProof/>
        </w:rPr>
        <w:t>Then, in matrix form</w:t>
      </w:r>
      <w:r w:rsidR="009E1BF4">
        <w:rPr>
          <w:noProof/>
        </w:rPr>
        <w:t>,</w:t>
      </w:r>
      <w:r w:rsidR="005C237C">
        <w:rPr>
          <w:noProof/>
        </w:rPr>
        <w:t xml:space="preserve"> </w:t>
      </w:r>
      <w:r w:rsidR="00D92A43" w:rsidRPr="004B0C88">
        <w:rPr>
          <w:noProof/>
        </w:rPr>
        <w:t xml:space="preserve">the latent propensities underlying the </w:t>
      </w:r>
      <w:r w:rsidR="009E1BF4">
        <w:rPr>
          <w:noProof/>
        </w:rPr>
        <w:t xml:space="preserve">observed </w:t>
      </w:r>
      <w:r w:rsidR="00D92A43" w:rsidRPr="004B0C88">
        <w:rPr>
          <w:noProof/>
        </w:rPr>
        <w:t>multivariate outcome</w:t>
      </w:r>
      <w:r w:rsidR="009E1BF4">
        <w:rPr>
          <w:noProof/>
        </w:rPr>
        <w:t xml:space="preserve"> for </w:t>
      </w:r>
      <w:r w:rsidR="005C237C">
        <w:rPr>
          <w:noProof/>
        </w:rPr>
        <w:t xml:space="preserve">the </w:t>
      </w:r>
      <w:r w:rsidR="009E1BF4">
        <w:rPr>
          <w:noProof/>
        </w:rPr>
        <w:t xml:space="preserve">individual should satisfy </w:t>
      </w:r>
      <w:r w:rsidR="00D92A43" w:rsidRPr="004B0C88">
        <w:rPr>
          <w:noProof/>
        </w:rPr>
        <w:t>:</w:t>
      </w:r>
    </w:p>
    <w:p w14:paraId="45361CB5" w14:textId="682B99F0" w:rsidR="00D92A43" w:rsidRDefault="009E3EB3" w:rsidP="000D4062">
      <w:pPr>
        <w:tabs>
          <w:tab w:val="right" w:pos="9360"/>
        </w:tabs>
        <w:spacing w:before="120" w:after="120"/>
        <w:jc w:val="both"/>
      </w:pPr>
      <w:r w:rsidRPr="005C237C">
        <w:rPr>
          <w:position w:val="-12"/>
        </w:rPr>
        <w:object w:dxaOrig="1160" w:dyaOrig="380" w14:anchorId="6C7991EF">
          <v:shape id="_x0000_i1073" type="#_x0000_t75" style="width:58.7pt;height:18.85pt" o:ole="" o:preferrelative="f">
            <v:imagedata r:id="rId105" o:title=""/>
            <o:lock v:ext="edit" aspectratio="f"/>
          </v:shape>
          <o:OLEObject Type="Embed" ProgID="Equation.DSMT4" ShapeID="_x0000_i1073" DrawAspect="Content" ObjectID="_1782815658" r:id="rId106"/>
        </w:object>
      </w:r>
      <w:r w:rsidR="00D92A43" w:rsidRPr="004B0C88">
        <w:t xml:space="preserve">, </w:t>
      </w:r>
      <w:r w:rsidRPr="007F18E6">
        <w:rPr>
          <w:position w:val="-14"/>
        </w:rPr>
        <w:object w:dxaOrig="1500" w:dyaOrig="400" w14:anchorId="0EE07CD5">
          <v:shape id="_x0000_i1074" type="#_x0000_t75" style="width:75pt;height:20.15pt" o:ole="" o:preferrelative="f">
            <v:imagedata r:id="rId107" o:title=""/>
            <o:lock v:ext="edit" aspectratio="f"/>
          </v:shape>
          <o:OLEObject Type="Embed" ProgID="Equation.DSMT4" ShapeID="_x0000_i1074" DrawAspect="Content" ObjectID="_1782815659" r:id="rId108"/>
        </w:object>
      </w:r>
      <w:r w:rsidR="00D92A43" w:rsidRPr="004B0C88">
        <w:t>,  where</w:t>
      </w:r>
      <w:r w:rsidR="00D92A43">
        <w:t xml:space="preserve"> </w:t>
      </w:r>
      <w:r w:rsidRPr="007F18E6">
        <w:rPr>
          <w:position w:val="-12"/>
        </w:rPr>
        <w:object w:dxaOrig="1900" w:dyaOrig="380" w14:anchorId="5521A65C">
          <v:shape id="_x0000_i1075" type="#_x0000_t75" style="width:95.15pt;height:18.85pt" o:ole="" o:preferrelative="f">
            <v:imagedata r:id="rId109" o:title=""/>
            <o:lock v:ext="edit" aspectratio="f"/>
          </v:shape>
          <o:OLEObject Type="Embed" ProgID="Equation.DSMT4" ShapeID="_x0000_i1075" DrawAspect="Content" ObjectID="_1782815660" r:id="rId110"/>
        </w:object>
      </w:r>
      <w:r w:rsidR="00D92A43" w:rsidRPr="004B0C88">
        <w:t>.</w:t>
      </w:r>
      <w:r w:rsidR="00D92A43" w:rsidRPr="004B0C88">
        <w:rPr>
          <w:noProof/>
        </w:rPr>
        <w:t xml:space="preserve">  </w:t>
      </w:r>
      <w:r w:rsidR="00D92A43" w:rsidRPr="004B0C88">
        <w:rPr>
          <w:noProof/>
        </w:rPr>
        <w:tab/>
      </w:r>
      <w:r w:rsidR="00D92A43">
        <w:rPr>
          <w:noProof/>
        </w:rPr>
        <w:t xml:space="preserve">  </w:t>
      </w:r>
      <w:r w:rsidR="00D92A43" w:rsidRPr="004B0C88">
        <w:rPr>
          <w:noProof/>
        </w:rPr>
        <w:t>(2)</w:t>
      </w:r>
    </w:p>
    <w:p w14:paraId="47F82E5C" w14:textId="1BB597D0" w:rsidR="00D92A43" w:rsidRPr="004B0C88" w:rsidRDefault="00D92A43" w:rsidP="003518AB">
      <w:pPr>
        <w:ind w:firstLine="720"/>
        <w:jc w:val="both"/>
      </w:pPr>
      <w:r w:rsidRPr="004B0C88">
        <w:t xml:space="preserve">Lastly, define a vector </w:t>
      </w:r>
      <w:r w:rsidR="009E3EB3" w:rsidRPr="009110A4">
        <w:rPr>
          <w:position w:val="-6"/>
        </w:rPr>
        <w:object w:dxaOrig="200" w:dyaOrig="279" w14:anchorId="40CB1F50">
          <v:shape id="_x0000_i1076" type="#_x0000_t75" style="width:9.85pt;height:13.7pt" o:ole="" o:preferrelative="f">
            <v:imagedata r:id="rId111" o:title=""/>
            <o:lock v:ext="edit" aspectratio="f"/>
          </v:shape>
          <o:OLEObject Type="Embed" ProgID="Equation.DSMT4" ShapeID="_x0000_i1076" DrawAspect="Content" ObjectID="_1782815661" r:id="rId112"/>
        </w:object>
      </w:r>
      <w:r w:rsidRPr="004B0C88">
        <w:t xml:space="preserve"> </w:t>
      </w:r>
      <w:r w:rsidRPr="004B0C88">
        <w:rPr>
          <w:noProof/>
        </w:rPr>
        <w:t>that holds the collection of parameters to be estimated</w:t>
      </w:r>
      <w:r>
        <w:rPr>
          <w:noProof/>
        </w:rPr>
        <w:t xml:space="preserve">: </w:t>
      </w:r>
      <w:r w:rsidR="009E3EB3" w:rsidRPr="007F18E6">
        <w:rPr>
          <w:position w:val="-26"/>
        </w:rPr>
        <w:object w:dxaOrig="3540" w:dyaOrig="740" w14:anchorId="704B9061">
          <v:shape id="_x0000_i1077" type="#_x0000_t75" style="width:177pt;height:36.85pt" o:ole="" o:preferrelative="f">
            <v:imagedata r:id="rId113" o:title=""/>
            <o:lock v:ext="edit" aspectratio="f"/>
          </v:shape>
          <o:OLEObject Type="Embed" ProgID="Equation.DSMT4" ShapeID="_x0000_i1077" DrawAspect="Content" ObjectID="_1782815662" r:id="rId114"/>
        </w:object>
      </w:r>
      <w:r>
        <w:t xml:space="preserve"> </w:t>
      </w:r>
      <w:r w:rsidRPr="004B0C88">
        <w:rPr>
          <w:noProof/>
        </w:rPr>
        <w:t xml:space="preserve">where the operator </w:t>
      </w:r>
      <w:r>
        <w:rPr>
          <w:noProof/>
        </w:rPr>
        <w:t>“Vech(.)”</w:t>
      </w:r>
      <w:r>
        <w:t xml:space="preserve"> </w:t>
      </w:r>
      <w:r w:rsidRPr="004B0C88">
        <w:t>row-</w:t>
      </w:r>
      <w:r w:rsidRPr="004B0C88">
        <w:rPr>
          <w:noProof/>
        </w:rPr>
        <w:t>vectorizes all the non-zero elements of the matrix/vector on which it operates, and the operator</w:t>
      </w:r>
      <w:r w:rsidRPr="006312A4">
        <w:rPr>
          <w:noProof/>
        </w:rPr>
        <w:t xml:space="preserve"> </w:t>
      </w:r>
      <w:r>
        <w:rPr>
          <w:noProof/>
        </w:rPr>
        <w:t xml:space="preserve">Vechup(.) </w:t>
      </w:r>
      <w:r w:rsidRPr="004B0C88">
        <w:t xml:space="preserve">row-vectorizes the </w:t>
      </w:r>
      <w:r>
        <w:t xml:space="preserve">(estimable) </w:t>
      </w:r>
      <w:r w:rsidRPr="004B0C88">
        <w:t xml:space="preserve">upper diagonal elements of a matrix. </w:t>
      </w:r>
      <w:r w:rsidRPr="004B0C88">
        <w:rPr>
          <w:noProof/>
        </w:rPr>
        <w:t>Then the likelihood function of a single individual may be written as:</w:t>
      </w:r>
    </w:p>
    <w:p w14:paraId="17175AC3" w14:textId="3B5A19E3" w:rsidR="00D92A43" w:rsidRPr="004B0C88" w:rsidRDefault="009E3EB3" w:rsidP="009E3EB3">
      <w:pPr>
        <w:tabs>
          <w:tab w:val="right" w:pos="9360"/>
        </w:tabs>
        <w:spacing w:before="120"/>
        <w:jc w:val="both"/>
        <w:rPr>
          <w:noProof/>
        </w:rPr>
      </w:pPr>
      <w:r w:rsidRPr="007F18E6">
        <w:rPr>
          <w:position w:val="-16"/>
        </w:rPr>
        <w:object w:dxaOrig="2799" w:dyaOrig="440" w14:anchorId="1DEEDDB7">
          <v:shape id="_x0000_i1078" type="#_x0000_t75" style="width:139.7pt;height:22.7pt" o:ole="" o:preferrelative="f">
            <v:imagedata r:id="rId115" o:title=""/>
            <o:lock v:ext="edit" aspectratio="f"/>
          </v:shape>
          <o:OLEObject Type="Embed" ProgID="Equation.DSMT4" ShapeID="_x0000_i1078" DrawAspect="Content" ObjectID="_1782815663" r:id="rId116"/>
        </w:object>
      </w:r>
      <w:r w:rsidR="00D92A43" w:rsidRPr="004B0C88">
        <w:rPr>
          <w:noProof/>
        </w:rPr>
        <w:t xml:space="preserve">                                 </w:t>
      </w:r>
      <w:r w:rsidR="00D92A43" w:rsidRPr="004B0C88">
        <w:rPr>
          <w:noProof/>
          <w:lang w:eastAsia="zh-CN"/>
        </w:rPr>
        <w:t xml:space="preserve">                                 </w:t>
      </w:r>
      <w:r w:rsidR="00D92A43" w:rsidRPr="004B0C88">
        <w:rPr>
          <w:b/>
          <w:noProof/>
        </w:rPr>
        <w:tab/>
        <w:t xml:space="preserve">   </w:t>
      </w:r>
    </w:p>
    <w:p w14:paraId="7601AE6C" w14:textId="13A247FA" w:rsidR="00D92A43" w:rsidRPr="0070427B" w:rsidRDefault="009E3EB3" w:rsidP="003518AB">
      <w:pPr>
        <w:jc w:val="both"/>
      </w:pPr>
      <w:r w:rsidRPr="007F18E6">
        <w:rPr>
          <w:position w:val="-34"/>
        </w:rPr>
        <w:object w:dxaOrig="2480" w:dyaOrig="620" w14:anchorId="6FBC6E59">
          <v:shape id="_x0000_i1079" type="#_x0000_t75" style="width:123.85pt;height:30.85pt" o:ole="" o:preferrelative="f">
            <v:imagedata r:id="rId117" o:title=""/>
            <o:lock v:ext="edit" aspectratio="f"/>
          </v:shape>
          <o:OLEObject Type="Embed" ProgID="Equation.DSMT4" ShapeID="_x0000_i1079" DrawAspect="Content" ObjectID="_1782815664" r:id="rId118"/>
        </w:object>
      </w:r>
      <w:r w:rsidR="00D92A43">
        <w:tab/>
      </w:r>
      <w:r w:rsidR="00D92A43">
        <w:tab/>
      </w:r>
      <w:r w:rsidR="00D92A43">
        <w:tab/>
      </w:r>
      <w:r w:rsidR="00D92A43">
        <w:tab/>
      </w:r>
      <w:r w:rsidR="00D92A43">
        <w:tab/>
      </w:r>
      <w:r w:rsidR="00D92A43">
        <w:tab/>
      </w:r>
      <w:r w:rsidR="00D92A43">
        <w:tab/>
      </w:r>
      <w:r w:rsidR="00D92A43">
        <w:tab/>
      </w:r>
      <w:r w:rsidR="00D92A43">
        <w:tab/>
        <w:t xml:space="preserve">       </w:t>
      </w:r>
      <w:r w:rsidR="00D92A43" w:rsidRPr="004B0C88">
        <w:rPr>
          <w:noProof/>
        </w:rPr>
        <w:t>(3)</w:t>
      </w:r>
    </w:p>
    <w:p w14:paraId="75C1D6A5" w14:textId="2CEFF11A" w:rsidR="00D92A43" w:rsidRPr="00662E40" w:rsidRDefault="00D92A43" w:rsidP="003518AB">
      <w:pPr>
        <w:jc w:val="both"/>
        <w:rPr>
          <w:rFonts w:ascii="Times New Roman" w:hAnsi="Times New Roman"/>
          <w:noProof/>
        </w:rPr>
      </w:pPr>
      <w:r w:rsidRPr="004B0C88">
        <w:rPr>
          <w:noProof/>
        </w:rPr>
        <w:t xml:space="preserve">where the integration domain </w:t>
      </w:r>
      <w:r w:rsidR="009E3EB3" w:rsidRPr="007F18E6">
        <w:rPr>
          <w:position w:val="-14"/>
        </w:rPr>
        <w:object w:dxaOrig="2340" w:dyaOrig="380" w14:anchorId="2AE2475E">
          <v:shape id="_x0000_i1080" type="#_x0000_t75" style="width:117pt;height:18.85pt" o:ole="" o:preferrelative="f">
            <v:imagedata r:id="rId119" o:title=""/>
            <o:lock v:ext="edit" aspectratio="f"/>
          </v:shape>
          <o:OLEObject Type="Embed" ProgID="Equation.DSMT4" ShapeID="_x0000_i1080" DrawAspect="Content" ObjectID="_1782815665" r:id="rId120"/>
        </w:object>
      </w:r>
      <w:r w:rsidRPr="004B0C88">
        <w:rPr>
          <w:noProof/>
        </w:rPr>
        <w:t xml:space="preserve"> is simply the multivariate region of the</w:t>
      </w:r>
      <w:r>
        <w:rPr>
          <w:noProof/>
        </w:rPr>
        <w:t xml:space="preserve"> </w:t>
      </w:r>
      <w:r w:rsidR="009E3EB3" w:rsidRPr="00D22A5B">
        <w:rPr>
          <w:position w:val="-12"/>
        </w:rPr>
        <w:object w:dxaOrig="279" w:dyaOrig="380" w14:anchorId="45D89E84">
          <v:shape id="_x0000_i1081" type="#_x0000_t75" style="width:13.7pt;height:18.85pt" o:ole="" o:preferrelative="f">
            <v:imagedata r:id="rId121" o:title=""/>
            <o:lock v:ext="edit" aspectratio="f"/>
          </v:shape>
          <o:OLEObject Type="Embed" ProgID="Equation.DSMT4" ShapeID="_x0000_i1081" DrawAspect="Content" ObjectID="_1782815666" r:id="rId122"/>
        </w:object>
      </w:r>
      <w:r>
        <w:t xml:space="preserve"> v</w:t>
      </w:r>
      <w:r w:rsidRPr="004B0C88">
        <w:rPr>
          <w:noProof/>
        </w:rPr>
        <w:t xml:space="preserve">ector determined by the upper and lower thresholds. </w:t>
      </w:r>
      <w:r w:rsidR="009E3EB3" w:rsidRPr="007F18E6">
        <w:rPr>
          <w:position w:val="-12"/>
        </w:rPr>
        <w:object w:dxaOrig="1240" w:dyaOrig="360" w14:anchorId="2245FEBA">
          <v:shape id="_x0000_i1082" type="#_x0000_t75" style="width:62.15pt;height:18pt" o:ole="" o:preferrelative="f">
            <v:imagedata r:id="rId123" o:title=""/>
            <o:lock v:ext="edit" aspectratio="f"/>
          </v:shape>
          <o:OLEObject Type="Embed" ProgID="Equation.DSMT4" ShapeID="_x0000_i1082" DrawAspect="Content" ObjectID="_1782815667" r:id="rId124"/>
        </w:object>
      </w:r>
      <w:r>
        <w:t xml:space="preserve"> </w:t>
      </w:r>
      <w:r w:rsidRPr="004B0C88">
        <w:rPr>
          <w:noProof/>
        </w:rPr>
        <w:t xml:space="preserve">is the MVN density function of </w:t>
      </w:r>
      <w:r w:rsidRPr="00662E40">
        <w:rPr>
          <w:rFonts w:ascii="Times New Roman" w:hAnsi="Times New Roman"/>
          <w:noProof/>
        </w:rPr>
        <w:t xml:space="preserve">dimension </w:t>
      </w:r>
      <w:r w:rsidRPr="00662E40">
        <w:rPr>
          <w:rFonts w:ascii="Times New Roman" w:hAnsi="Times New Roman"/>
          <w:i/>
          <w:iCs/>
          <w:noProof/>
        </w:rPr>
        <w:t>I</w:t>
      </w:r>
      <w:r w:rsidRPr="00662E40">
        <w:rPr>
          <w:rFonts w:ascii="Times New Roman" w:hAnsi="Times New Roman"/>
          <w:noProof/>
        </w:rPr>
        <w:t xml:space="preserve"> with a mean of </w:t>
      </w:r>
      <w:r w:rsidR="009E3EB3" w:rsidRPr="00662E40">
        <w:rPr>
          <w:rFonts w:ascii="Times New Roman" w:hAnsi="Times New Roman"/>
          <w:position w:val="-10"/>
        </w:rPr>
        <w:object w:dxaOrig="360" w:dyaOrig="320" w14:anchorId="033B6532">
          <v:shape id="_x0000_i1083" type="#_x0000_t75" style="width:18pt;height:15.85pt" o:ole="" o:preferrelative="f">
            <v:imagedata r:id="rId125" o:title=""/>
            <o:lock v:ext="edit" aspectratio="f"/>
          </v:shape>
          <o:OLEObject Type="Embed" ProgID="Equation.DSMT4" ShapeID="_x0000_i1083" DrawAspect="Content" ObjectID="_1782815668" r:id="rId126"/>
        </w:object>
      </w:r>
      <w:r w:rsidRPr="00662E40">
        <w:rPr>
          <w:rFonts w:ascii="Times New Roman" w:hAnsi="Times New Roman"/>
        </w:rPr>
        <w:t xml:space="preserve"> </w:t>
      </w:r>
      <w:r w:rsidRPr="00662E40">
        <w:rPr>
          <w:rFonts w:ascii="Times New Roman" w:hAnsi="Times New Roman"/>
          <w:noProof/>
        </w:rPr>
        <w:t>and a correlation matrix</w:t>
      </w:r>
      <w:r w:rsidRPr="00662E40">
        <w:rPr>
          <w:rFonts w:ascii="Times New Roman" w:hAnsi="Times New Roman"/>
        </w:rPr>
        <w:t xml:space="preserve"> </w:t>
      </w:r>
      <w:r w:rsidR="009E3EB3" w:rsidRPr="00662E40">
        <w:rPr>
          <w:rFonts w:ascii="Times New Roman" w:hAnsi="Times New Roman"/>
          <w:position w:val="-4"/>
        </w:rPr>
        <w:object w:dxaOrig="240" w:dyaOrig="260" w14:anchorId="1ABE7D7E">
          <v:shape id="_x0000_i1084" type="#_x0000_t75" style="width:12pt;height:12.85pt" o:ole="" o:preferrelative="f">
            <v:imagedata r:id="rId127" o:title=""/>
            <o:lock v:ext="edit" aspectratio="f"/>
          </v:shape>
          <o:OLEObject Type="Embed" ProgID="Equation.DSMT4" ShapeID="_x0000_i1084" DrawAspect="Content" ObjectID="_1782815669" r:id="rId128"/>
        </w:object>
      </w:r>
      <w:r w:rsidRPr="00662E40">
        <w:rPr>
          <w:rFonts w:ascii="Times New Roman" w:hAnsi="Times New Roman"/>
          <w:noProof/>
        </w:rPr>
        <w:t xml:space="preserve">. </w:t>
      </w:r>
      <w:r w:rsidR="00A774E1" w:rsidRPr="00662E40">
        <w:rPr>
          <w:rFonts w:ascii="Times New Roman" w:hAnsi="Times New Roman"/>
          <w:noProof/>
        </w:rPr>
        <w:t xml:space="preserve">A maximum likelihood inference approach is used in estimation. The log-likelihood function for a sample of </w:t>
      </w:r>
      <w:r w:rsidR="00A774E1" w:rsidRPr="00662E40">
        <w:rPr>
          <w:rFonts w:ascii="Times New Roman" w:hAnsi="Times New Roman"/>
          <w:i/>
          <w:iCs/>
          <w:noProof/>
        </w:rPr>
        <w:t>Q</w:t>
      </w:r>
      <w:r w:rsidR="00A774E1" w:rsidRPr="00662E40">
        <w:rPr>
          <w:rFonts w:ascii="Times New Roman" w:hAnsi="Times New Roman"/>
          <w:noProof/>
        </w:rPr>
        <w:t xml:space="preserve"> decision-makers is obtained as the sum of the individual-level log-likelihood functions.  </w:t>
      </w:r>
    </w:p>
    <w:p w14:paraId="4BFFA076" w14:textId="77777777" w:rsidR="00CF0E17" w:rsidRPr="00662E40" w:rsidRDefault="00CF0E17" w:rsidP="003518AB">
      <w:pPr>
        <w:jc w:val="both"/>
        <w:rPr>
          <w:rFonts w:ascii="Times New Roman" w:hAnsi="Times New Roman"/>
        </w:rPr>
      </w:pPr>
    </w:p>
    <w:p w14:paraId="1058103E" w14:textId="44541151" w:rsidR="00745536" w:rsidRPr="00662E40" w:rsidRDefault="00815C61" w:rsidP="003518AB">
      <w:pPr>
        <w:pStyle w:val="Heading1"/>
        <w:spacing w:line="240" w:lineRule="auto"/>
        <w:contextualSpacing w:val="0"/>
        <w:rPr>
          <w:caps/>
          <w:lang w:eastAsia="ko-KR"/>
        </w:rPr>
      </w:pPr>
      <w:r w:rsidRPr="00662E40">
        <w:rPr>
          <w:caps/>
          <w:lang w:eastAsia="ko-KR"/>
        </w:rPr>
        <w:t xml:space="preserve">Empirical </w:t>
      </w:r>
      <w:r w:rsidR="00745536" w:rsidRPr="00662E40">
        <w:rPr>
          <w:caps/>
          <w:lang w:eastAsia="ko-KR"/>
        </w:rPr>
        <w:t>Result</w:t>
      </w:r>
      <w:r w:rsidRPr="00662E40">
        <w:rPr>
          <w:caps/>
          <w:lang w:eastAsia="ko-KR"/>
        </w:rPr>
        <w:t>s</w:t>
      </w:r>
    </w:p>
    <w:p w14:paraId="593CDE15" w14:textId="0E32A0B6" w:rsidR="00FB1558" w:rsidRPr="007F24B9" w:rsidRDefault="00E572BA" w:rsidP="003518AB">
      <w:pPr>
        <w:jc w:val="both"/>
      </w:pPr>
      <w:r w:rsidRPr="00662E40">
        <w:rPr>
          <w:rFonts w:ascii="Times New Roman" w:hAnsi="Times New Roman"/>
          <w:lang w:eastAsia="ko-KR"/>
        </w:rPr>
        <w:t xml:space="preserve">This section </w:t>
      </w:r>
      <w:r w:rsidR="00CF4B4C" w:rsidRPr="00662E40">
        <w:rPr>
          <w:rFonts w:ascii="Times New Roman" w:hAnsi="Times New Roman"/>
          <w:lang w:eastAsia="ko-KR"/>
        </w:rPr>
        <w:t>presents</w:t>
      </w:r>
      <w:r w:rsidRPr="00662E40">
        <w:rPr>
          <w:rFonts w:ascii="Times New Roman" w:hAnsi="Times New Roman"/>
          <w:lang w:eastAsia="ko-KR"/>
        </w:rPr>
        <w:t xml:space="preserve"> the model estimation results for </w:t>
      </w:r>
      <w:r w:rsidR="00CF4B4C" w:rsidRPr="00662E40">
        <w:rPr>
          <w:rFonts w:ascii="Times New Roman" w:hAnsi="Times New Roman"/>
          <w:lang w:eastAsia="ko-KR"/>
        </w:rPr>
        <w:t>the three outcomes of interest in the study</w:t>
      </w:r>
      <w:r w:rsidRPr="00662E40">
        <w:rPr>
          <w:rFonts w:ascii="Times New Roman" w:hAnsi="Times New Roman"/>
          <w:lang w:eastAsia="ko-KR"/>
        </w:rPr>
        <w:t xml:space="preserve">. </w:t>
      </w:r>
      <w:r w:rsidR="00CF4B4C" w:rsidRPr="00662E40">
        <w:rPr>
          <w:rFonts w:ascii="Times New Roman" w:hAnsi="Times New Roman"/>
          <w:lang w:eastAsia="ko-KR"/>
        </w:rPr>
        <w:t xml:space="preserve">A variety of </w:t>
      </w:r>
      <w:r w:rsidRPr="00662E40">
        <w:rPr>
          <w:rFonts w:ascii="Times New Roman" w:hAnsi="Times New Roman"/>
          <w:lang w:eastAsia="ko-KR"/>
        </w:rPr>
        <w:t>functional forms and combinations for the explanatory variables were examined, with the final model selection based on statistical significance</w:t>
      </w:r>
      <w:r w:rsidR="00CF4B4C" w:rsidRPr="00662E40">
        <w:rPr>
          <w:rFonts w:ascii="Times New Roman" w:hAnsi="Times New Roman"/>
          <w:lang w:eastAsia="ko-KR"/>
        </w:rPr>
        <w:t xml:space="preserve"> </w:t>
      </w:r>
      <w:r w:rsidRPr="00662E40">
        <w:rPr>
          <w:rFonts w:ascii="Times New Roman" w:hAnsi="Times New Roman"/>
          <w:lang w:eastAsia="ko-KR"/>
        </w:rPr>
        <w:t xml:space="preserve">and parsimony considerations. Table 4 presents the estimation results. In Table 4, a positive coefficient for an exogenous variable indicates that individuals with the corresponding characteristic </w:t>
      </w:r>
      <w:r w:rsidR="00143523" w:rsidRPr="00662E40">
        <w:rPr>
          <w:rFonts w:ascii="Times New Roman" w:hAnsi="Times New Roman"/>
          <w:lang w:eastAsia="ko-KR"/>
        </w:rPr>
        <w:t xml:space="preserve">have a higher propensity to </w:t>
      </w:r>
      <w:r w:rsidRPr="00662E40">
        <w:rPr>
          <w:rFonts w:ascii="Times New Roman" w:hAnsi="Times New Roman"/>
          <w:lang w:eastAsia="ko-KR"/>
        </w:rPr>
        <w:t xml:space="preserve">walk frequently, have longer walking </w:t>
      </w:r>
      <w:r w:rsidR="00143523" w:rsidRPr="00662E40">
        <w:rPr>
          <w:rFonts w:ascii="Times New Roman" w:hAnsi="Times New Roman"/>
          <w:lang w:eastAsia="ko-KR"/>
        </w:rPr>
        <w:t>durations</w:t>
      </w:r>
      <w:r w:rsidRPr="00662E40">
        <w:rPr>
          <w:rFonts w:ascii="Times New Roman" w:hAnsi="Times New Roman"/>
          <w:lang w:eastAsia="ko-KR"/>
        </w:rPr>
        <w:t xml:space="preserve">, </w:t>
      </w:r>
      <w:r w:rsidR="00143523" w:rsidRPr="00662E40">
        <w:rPr>
          <w:rFonts w:ascii="Times New Roman" w:hAnsi="Times New Roman"/>
          <w:lang w:eastAsia="ko-KR"/>
        </w:rPr>
        <w:t>and</w:t>
      </w:r>
      <w:r w:rsidRPr="00662E40">
        <w:rPr>
          <w:rFonts w:ascii="Times New Roman" w:hAnsi="Times New Roman"/>
          <w:lang w:eastAsia="ko-KR"/>
        </w:rPr>
        <w:t xml:space="preserve"> </w:t>
      </w:r>
      <w:r w:rsidR="006C43F0" w:rsidRPr="00662E40">
        <w:rPr>
          <w:rFonts w:ascii="Times New Roman" w:hAnsi="Times New Roman"/>
          <w:lang w:eastAsia="ko-KR"/>
        </w:rPr>
        <w:t xml:space="preserve">have a higher propensity to </w:t>
      </w:r>
      <w:r w:rsidRPr="00662E40">
        <w:rPr>
          <w:rFonts w:ascii="Times New Roman" w:hAnsi="Times New Roman"/>
          <w:lang w:eastAsia="ko-KR"/>
        </w:rPr>
        <w:t>walk with oth</w:t>
      </w:r>
      <w:r w:rsidR="006C43F0" w:rsidRPr="00662E40">
        <w:rPr>
          <w:rFonts w:ascii="Times New Roman" w:hAnsi="Times New Roman"/>
          <w:lang w:eastAsia="ko-KR"/>
        </w:rPr>
        <w:t>ers</w:t>
      </w:r>
      <w:r w:rsidRPr="00662E40">
        <w:rPr>
          <w:rFonts w:ascii="Times New Roman" w:hAnsi="Times New Roman"/>
          <w:lang w:eastAsia="ko-KR"/>
        </w:rPr>
        <w:t xml:space="preserve">. Conversely, a negative coefficient suggests that individuals with higher levels of that exogenous variable </w:t>
      </w:r>
      <w:r w:rsidR="00143523" w:rsidRPr="00662E40">
        <w:rPr>
          <w:rFonts w:ascii="Times New Roman" w:hAnsi="Times New Roman"/>
          <w:lang w:eastAsia="ko-KR"/>
        </w:rPr>
        <w:t xml:space="preserve">have a lower </w:t>
      </w:r>
      <w:r w:rsidR="006C43F0" w:rsidRPr="00662E40">
        <w:rPr>
          <w:rFonts w:ascii="Times New Roman" w:hAnsi="Times New Roman"/>
          <w:lang w:eastAsia="ko-KR"/>
        </w:rPr>
        <w:t xml:space="preserve">inclination </w:t>
      </w:r>
      <w:r w:rsidRPr="00662E40">
        <w:rPr>
          <w:rFonts w:ascii="Times New Roman" w:hAnsi="Times New Roman"/>
          <w:lang w:eastAsia="ko-KR"/>
        </w:rPr>
        <w:t xml:space="preserve">to </w:t>
      </w:r>
      <w:r w:rsidR="00143523" w:rsidRPr="00662E40">
        <w:rPr>
          <w:rFonts w:ascii="Times New Roman" w:hAnsi="Times New Roman"/>
          <w:lang w:eastAsia="ko-KR"/>
        </w:rPr>
        <w:t xml:space="preserve">walk frequently, have shorter walking duration, and </w:t>
      </w:r>
      <w:r w:rsidR="00840C8D" w:rsidRPr="00662E40">
        <w:rPr>
          <w:rFonts w:ascii="Times New Roman" w:hAnsi="Times New Roman"/>
          <w:lang w:eastAsia="ko-KR"/>
        </w:rPr>
        <w:t xml:space="preserve">have </w:t>
      </w:r>
      <w:r w:rsidR="006C43F0" w:rsidRPr="00662E40">
        <w:rPr>
          <w:rFonts w:ascii="Times New Roman" w:hAnsi="Times New Roman"/>
          <w:lang w:eastAsia="ko-KR"/>
        </w:rPr>
        <w:t xml:space="preserve">a lower inclination to </w:t>
      </w:r>
      <w:r w:rsidRPr="00662E40">
        <w:rPr>
          <w:rFonts w:ascii="Times New Roman" w:hAnsi="Times New Roman"/>
          <w:lang w:eastAsia="ko-KR"/>
        </w:rPr>
        <w:t xml:space="preserve">engage in </w:t>
      </w:r>
      <w:r w:rsidR="00143523" w:rsidRPr="00662E40">
        <w:rPr>
          <w:rFonts w:ascii="Times New Roman" w:hAnsi="Times New Roman"/>
          <w:lang w:eastAsia="ko-KR"/>
        </w:rPr>
        <w:t>walking with other</w:t>
      </w:r>
      <w:r w:rsidR="00840C8D" w:rsidRPr="00662E40">
        <w:rPr>
          <w:rFonts w:ascii="Times New Roman" w:hAnsi="Times New Roman"/>
          <w:lang w:eastAsia="ko-KR"/>
        </w:rPr>
        <w:t>s</w:t>
      </w:r>
      <w:r w:rsidR="00143523" w:rsidRPr="00662E40">
        <w:rPr>
          <w:rFonts w:ascii="Times New Roman" w:hAnsi="Times New Roman"/>
          <w:lang w:eastAsia="ko-KR"/>
        </w:rPr>
        <w:t xml:space="preserve">. </w:t>
      </w:r>
      <w:r w:rsidRPr="00662E40">
        <w:rPr>
          <w:rFonts w:ascii="Times New Roman" w:eastAsiaTheme="minorEastAsia" w:hAnsi="Times New Roman"/>
          <w:lang w:eastAsia="ko-KR"/>
        </w:rPr>
        <w:t>A “--” in Table 4 is used to signify that a variable is not statistically significant</w:t>
      </w:r>
      <w:r w:rsidR="00143523" w:rsidRPr="00662E40">
        <w:rPr>
          <w:rFonts w:ascii="Times New Roman" w:eastAsiaTheme="minorEastAsia" w:hAnsi="Times New Roman"/>
          <w:lang w:eastAsia="ko-KR"/>
        </w:rPr>
        <w:t xml:space="preserve"> at the 95% confidence level</w:t>
      </w:r>
      <w:r w:rsidRPr="00662E40">
        <w:rPr>
          <w:rFonts w:ascii="Times New Roman" w:eastAsiaTheme="minorEastAsia" w:hAnsi="Times New Roman"/>
          <w:lang w:eastAsia="ko-KR"/>
        </w:rPr>
        <w:t xml:space="preserve">. Note that the values reported in the “Thresholds” panel for frequency and companionship in Table 4 do not have any substantive interpretations on their own. These thresholds serve solely as a mapping mechanism to translate the underlying propensity to the actual observed ordinal category. For duration, the thresholds are </w:t>
      </w:r>
      <w:r w:rsidRPr="00662E40">
        <w:rPr>
          <w:rFonts w:ascii="Times New Roman" w:eastAsiaTheme="minorEastAsia" w:hAnsi="Times New Roman"/>
          <w:lang w:eastAsia="ko-KR"/>
        </w:rPr>
        <w:lastRenderedPageBreak/>
        <w:t xml:space="preserve">fixed </w:t>
      </w:r>
      <w:r w:rsidR="00E1138F" w:rsidRPr="00662E40">
        <w:rPr>
          <w:rFonts w:ascii="Times New Roman" w:eastAsiaTheme="minorEastAsia" w:hAnsi="Times New Roman"/>
          <w:lang w:eastAsia="ko-KR"/>
        </w:rPr>
        <w:t>based on</w:t>
      </w:r>
      <w:r w:rsidRPr="00662E40">
        <w:rPr>
          <w:rFonts w:ascii="Times New Roman" w:eastAsiaTheme="minorEastAsia" w:hAnsi="Times New Roman"/>
          <w:lang w:eastAsia="ko-KR"/>
        </w:rPr>
        <w:t xml:space="preserve"> the brackets provided in the survey, as discussed in </w:t>
      </w:r>
      <w:r w:rsidR="00840C8D" w:rsidRPr="00662E40">
        <w:rPr>
          <w:rFonts w:ascii="Times New Roman" w:eastAsiaTheme="minorEastAsia" w:hAnsi="Times New Roman"/>
          <w:lang w:eastAsia="ko-KR"/>
        </w:rPr>
        <w:t>S</w:t>
      </w:r>
      <w:r w:rsidRPr="00662E40">
        <w:rPr>
          <w:rFonts w:ascii="Times New Roman" w:eastAsiaTheme="minorEastAsia" w:hAnsi="Times New Roman"/>
          <w:lang w:eastAsia="ko-KR"/>
        </w:rPr>
        <w:t>ection 3.4. Additionally, the duration model includes a constant term</w:t>
      </w:r>
      <w:r w:rsidR="00143523" w:rsidRPr="00662E40">
        <w:rPr>
          <w:rFonts w:ascii="Times New Roman" w:eastAsiaTheme="minorEastAsia" w:hAnsi="Times New Roman"/>
          <w:lang w:eastAsia="ko-KR"/>
        </w:rPr>
        <w:t xml:space="preserve">, as discussed earlier. </w:t>
      </w:r>
      <w:r w:rsidR="00FB5103" w:rsidRPr="00662E40">
        <w:rPr>
          <w:rFonts w:ascii="Times New Roman" w:eastAsiaTheme="minorEastAsia" w:hAnsi="Times New Roman"/>
          <w:lang w:eastAsia="ko-KR"/>
        </w:rPr>
        <w:t xml:space="preserve">Technically speaking, the coefficients in Table 4 correspond to the effects of exogenous variables (and the endogenous SC and walk frequency effects) on the logarithm of duration, but, for presentation ease, we will refer to ln(duration) simply as duration in the interpretation of results. </w:t>
      </w:r>
      <w:r w:rsidR="00BF1EFF" w:rsidRPr="00662E40">
        <w:rPr>
          <w:rFonts w:ascii="Times New Roman" w:eastAsiaTheme="minorEastAsia" w:hAnsi="Times New Roman"/>
          <w:lang w:eastAsia="ko-KR"/>
        </w:rPr>
        <w:t>Finally, the effects of exogenous variables on the frequency dimensions reflect direct effects after accounting for any indirect effects of the variables through the SC dimension, while the effects for the duration dimension reflect direct effects after accounting for the mediating effects through the SC and frequency dimensions.</w:t>
      </w:r>
      <w:r w:rsidR="00BF1EFF">
        <w:rPr>
          <w:rFonts w:eastAsiaTheme="minorEastAsia"/>
          <w:lang w:eastAsia="ko-KR"/>
        </w:rPr>
        <w:t xml:space="preserve"> </w:t>
      </w:r>
      <w:r w:rsidR="00BB1459">
        <w:br w:type="page"/>
      </w:r>
      <w:r w:rsidR="00E83F5C" w:rsidRPr="00AA7404">
        <w:rPr>
          <w:rFonts w:eastAsiaTheme="minorEastAsia"/>
          <w:b/>
          <w:bCs/>
          <w:lang w:eastAsia="ko-KR"/>
        </w:rPr>
        <w:lastRenderedPageBreak/>
        <w:t xml:space="preserve">Table </w:t>
      </w:r>
      <w:r w:rsidR="0069321A">
        <w:rPr>
          <w:rFonts w:eastAsiaTheme="minorEastAsia" w:hint="eastAsia"/>
          <w:b/>
          <w:bCs/>
          <w:lang w:eastAsia="ko-KR"/>
        </w:rPr>
        <w:t>4</w:t>
      </w:r>
      <w:r w:rsidR="00E83F5C" w:rsidRPr="00AA7404">
        <w:rPr>
          <w:rFonts w:eastAsiaTheme="minorEastAsia"/>
          <w:b/>
          <w:bCs/>
          <w:lang w:eastAsia="ko-KR"/>
        </w:rPr>
        <w:t xml:space="preserve">. Estimates </w:t>
      </w:r>
      <w:r w:rsidR="00AA7404" w:rsidRPr="00AA7404">
        <w:rPr>
          <w:rFonts w:eastAsiaTheme="minorEastAsia"/>
          <w:b/>
          <w:bCs/>
          <w:lang w:eastAsia="ko-KR"/>
        </w:rPr>
        <w:t>of Exogenous Variables on Outcome Variables</w:t>
      </w:r>
    </w:p>
    <w:tbl>
      <w:tblPr>
        <w:tblW w:w="5000" w:type="pct"/>
        <w:tblCellMar>
          <w:left w:w="0" w:type="dxa"/>
          <w:right w:w="43" w:type="dxa"/>
        </w:tblCellMar>
        <w:tblLook w:val="04A0" w:firstRow="1" w:lastRow="0" w:firstColumn="1" w:lastColumn="0" w:noHBand="0" w:noVBand="1"/>
      </w:tblPr>
      <w:tblGrid>
        <w:gridCol w:w="3632"/>
        <w:gridCol w:w="1028"/>
        <w:gridCol w:w="821"/>
        <w:gridCol w:w="1029"/>
        <w:gridCol w:w="1030"/>
        <w:gridCol w:w="889"/>
        <w:gridCol w:w="885"/>
      </w:tblGrid>
      <w:tr w:rsidR="00FE4593" w:rsidRPr="007F24B9" w14:paraId="646E45DE" w14:textId="5A95090E" w:rsidTr="00261282">
        <w:trPr>
          <w:trHeight w:val="144"/>
          <w:tblHeader/>
        </w:trPr>
        <w:tc>
          <w:tcPr>
            <w:tcW w:w="1950" w:type="pct"/>
            <w:vMerge w:val="restart"/>
            <w:tcBorders>
              <w:top w:val="single" w:sz="18" w:space="0" w:color="auto"/>
              <w:left w:val="single" w:sz="18" w:space="0" w:color="auto"/>
              <w:right w:val="single" w:sz="12" w:space="0" w:color="auto"/>
            </w:tcBorders>
            <w:tcMar>
              <w:top w:w="30" w:type="dxa"/>
              <w:left w:w="45" w:type="dxa"/>
              <w:bottom w:w="30" w:type="dxa"/>
              <w:right w:w="45" w:type="dxa"/>
            </w:tcMar>
            <w:vAlign w:val="center"/>
            <w:hideMark/>
          </w:tcPr>
          <w:p w14:paraId="333F8805" w14:textId="77777777" w:rsidR="00FE4593" w:rsidRPr="007F24B9" w:rsidRDefault="00FE4593" w:rsidP="00CB454F">
            <w:pPr>
              <w:rPr>
                <w:rFonts w:ascii="Times New Roman" w:eastAsia="Times New Roman" w:hAnsi="Times New Roman"/>
                <w:b/>
                <w:bCs/>
                <w:sz w:val="20"/>
              </w:rPr>
            </w:pPr>
            <w:bookmarkStart w:id="34" w:name="_Hlk162532869"/>
            <w:r w:rsidRPr="007F24B9">
              <w:rPr>
                <w:rFonts w:ascii="Times New Roman" w:eastAsia="Times New Roman" w:hAnsi="Times New Roman"/>
                <w:b/>
                <w:bCs/>
                <w:sz w:val="20"/>
              </w:rPr>
              <w:t>Exogenous variables (base)</w:t>
            </w:r>
          </w:p>
        </w:tc>
        <w:tc>
          <w:tcPr>
            <w:tcW w:w="993" w:type="pct"/>
            <w:gridSpan w:val="2"/>
            <w:tcBorders>
              <w:top w:val="single" w:sz="18" w:space="0" w:color="auto"/>
              <w:left w:val="single" w:sz="12" w:space="0" w:color="auto"/>
              <w:bottom w:val="single" w:sz="6" w:space="0" w:color="auto"/>
              <w:right w:val="single" w:sz="12" w:space="0" w:color="auto"/>
            </w:tcBorders>
            <w:tcMar>
              <w:top w:w="30" w:type="dxa"/>
              <w:left w:w="45" w:type="dxa"/>
              <w:bottom w:w="30" w:type="dxa"/>
              <w:right w:w="45" w:type="dxa"/>
            </w:tcMar>
            <w:vAlign w:val="center"/>
            <w:hideMark/>
          </w:tcPr>
          <w:p w14:paraId="2751FC1D" w14:textId="397D5041" w:rsidR="00FE4593" w:rsidRPr="007F24B9" w:rsidRDefault="00FE4593" w:rsidP="0015667B">
            <w:pPr>
              <w:jc w:val="center"/>
              <w:rPr>
                <w:rFonts w:ascii="Times New Roman" w:eastAsiaTheme="minorEastAsia" w:hAnsi="Times New Roman"/>
                <w:b/>
                <w:bCs/>
                <w:sz w:val="20"/>
                <w:lang w:eastAsia="ko-KR"/>
              </w:rPr>
            </w:pPr>
            <w:r w:rsidRPr="007F24B9">
              <w:rPr>
                <w:rFonts w:ascii="Times New Roman" w:eastAsiaTheme="minorEastAsia" w:hAnsi="Times New Roman" w:hint="eastAsia"/>
                <w:b/>
                <w:bCs/>
                <w:sz w:val="20"/>
                <w:lang w:eastAsia="ko-KR"/>
              </w:rPr>
              <w:t>Frequency</w:t>
            </w:r>
          </w:p>
        </w:tc>
        <w:tc>
          <w:tcPr>
            <w:tcW w:w="1105" w:type="pct"/>
            <w:gridSpan w:val="2"/>
            <w:tcBorders>
              <w:top w:val="single" w:sz="18" w:space="0" w:color="auto"/>
              <w:left w:val="single" w:sz="12" w:space="0" w:color="auto"/>
              <w:bottom w:val="single" w:sz="6" w:space="0" w:color="auto"/>
              <w:right w:val="single" w:sz="12" w:space="0" w:color="auto"/>
            </w:tcBorders>
            <w:tcMar>
              <w:top w:w="30" w:type="dxa"/>
              <w:left w:w="45" w:type="dxa"/>
              <w:bottom w:w="30" w:type="dxa"/>
              <w:right w:w="45" w:type="dxa"/>
            </w:tcMar>
            <w:vAlign w:val="center"/>
            <w:hideMark/>
          </w:tcPr>
          <w:p w14:paraId="0F41A547" w14:textId="036AC03D" w:rsidR="00FE4593" w:rsidRPr="007F24B9" w:rsidRDefault="00FB5103">
            <w:pPr>
              <w:jc w:val="center"/>
              <w:rPr>
                <w:rFonts w:ascii="Times New Roman" w:eastAsiaTheme="minorEastAsia" w:hAnsi="Times New Roman"/>
                <w:b/>
                <w:bCs/>
                <w:sz w:val="20"/>
                <w:lang w:eastAsia="ko-KR"/>
              </w:rPr>
            </w:pPr>
            <w:r w:rsidRPr="007F24B9">
              <w:rPr>
                <w:rFonts w:ascii="Times New Roman" w:eastAsiaTheme="minorEastAsia" w:hAnsi="Times New Roman"/>
                <w:b/>
                <w:bCs/>
                <w:sz w:val="20"/>
                <w:lang w:eastAsia="ko-KR"/>
              </w:rPr>
              <w:t>Ln(</w:t>
            </w:r>
            <w:r w:rsidR="009C3C33" w:rsidRPr="007F24B9">
              <w:rPr>
                <w:rFonts w:ascii="Times New Roman" w:eastAsiaTheme="minorEastAsia" w:hAnsi="Times New Roman"/>
                <w:b/>
                <w:bCs/>
                <w:sz w:val="20"/>
                <w:lang w:eastAsia="ko-KR"/>
              </w:rPr>
              <w:t>Duration</w:t>
            </w:r>
            <w:r w:rsidRPr="007F24B9">
              <w:rPr>
                <w:rFonts w:ascii="Times New Roman" w:eastAsiaTheme="minorEastAsia" w:hAnsi="Times New Roman"/>
                <w:b/>
                <w:bCs/>
                <w:sz w:val="20"/>
                <w:lang w:eastAsia="ko-KR"/>
              </w:rPr>
              <w:t>)</w:t>
            </w:r>
          </w:p>
        </w:tc>
        <w:tc>
          <w:tcPr>
            <w:tcW w:w="952" w:type="pct"/>
            <w:gridSpan w:val="2"/>
            <w:tcBorders>
              <w:top w:val="single" w:sz="18" w:space="0" w:color="auto"/>
              <w:left w:val="single" w:sz="12" w:space="0" w:color="auto"/>
              <w:bottom w:val="single" w:sz="6" w:space="0" w:color="auto"/>
              <w:right w:val="single" w:sz="18" w:space="0" w:color="auto"/>
            </w:tcBorders>
            <w:vAlign w:val="center"/>
          </w:tcPr>
          <w:p w14:paraId="22894BEF" w14:textId="7703C6F9" w:rsidR="00FE4593" w:rsidRPr="007F24B9" w:rsidRDefault="00287DD8">
            <w:pPr>
              <w:jc w:val="center"/>
              <w:rPr>
                <w:rFonts w:ascii="Times New Roman" w:eastAsiaTheme="minorEastAsia" w:hAnsi="Times New Roman"/>
                <w:b/>
                <w:bCs/>
                <w:sz w:val="20"/>
                <w:lang w:eastAsia="ko-KR"/>
              </w:rPr>
            </w:pPr>
            <w:r w:rsidRPr="007F24B9">
              <w:rPr>
                <w:rFonts w:ascii="Times New Roman" w:eastAsiaTheme="minorEastAsia" w:hAnsi="Times New Roman"/>
                <w:b/>
                <w:bCs/>
                <w:sz w:val="20"/>
                <w:lang w:eastAsia="ko-KR"/>
              </w:rPr>
              <w:t xml:space="preserve">Social </w:t>
            </w:r>
            <w:r w:rsidR="009C3C33" w:rsidRPr="007F24B9">
              <w:rPr>
                <w:rFonts w:ascii="Times New Roman" w:eastAsiaTheme="minorEastAsia" w:hAnsi="Times New Roman"/>
                <w:b/>
                <w:bCs/>
                <w:sz w:val="20"/>
                <w:lang w:eastAsia="ko-KR"/>
              </w:rPr>
              <w:t>C</w:t>
            </w:r>
            <w:r w:rsidR="00AF02F2" w:rsidRPr="007F24B9">
              <w:rPr>
                <w:rFonts w:ascii="Times New Roman" w:eastAsiaTheme="minorEastAsia" w:hAnsi="Times New Roman"/>
                <w:b/>
                <w:bCs/>
                <w:sz w:val="20"/>
                <w:lang w:eastAsia="ko-KR"/>
              </w:rPr>
              <w:t>ompanionship</w:t>
            </w:r>
          </w:p>
        </w:tc>
      </w:tr>
      <w:tr w:rsidR="006F2723" w:rsidRPr="007F24B9" w14:paraId="3DDD723F" w14:textId="5B7B215E" w:rsidTr="00261282">
        <w:trPr>
          <w:trHeight w:val="144"/>
        </w:trPr>
        <w:tc>
          <w:tcPr>
            <w:tcW w:w="1950" w:type="pct"/>
            <w:vMerge/>
            <w:tcBorders>
              <w:left w:val="single" w:sz="18" w:space="0" w:color="auto"/>
              <w:bottom w:val="single" w:sz="12" w:space="0" w:color="auto"/>
              <w:right w:val="single" w:sz="12" w:space="0" w:color="auto"/>
            </w:tcBorders>
            <w:vAlign w:val="center"/>
            <w:hideMark/>
          </w:tcPr>
          <w:p w14:paraId="757B54E0" w14:textId="77777777" w:rsidR="00FE4593" w:rsidRPr="007F24B9" w:rsidRDefault="00FE4593" w:rsidP="00FE4593">
            <w:pPr>
              <w:rPr>
                <w:rFonts w:ascii="Times New Roman" w:eastAsia="Times New Roman" w:hAnsi="Times New Roman"/>
                <w:b/>
                <w:bCs/>
                <w:sz w:val="20"/>
              </w:rPr>
            </w:pPr>
          </w:p>
        </w:tc>
        <w:tc>
          <w:tcPr>
            <w:tcW w:w="552" w:type="pct"/>
            <w:tcBorders>
              <w:top w:val="single" w:sz="6" w:space="0" w:color="auto"/>
              <w:left w:val="single" w:sz="12" w:space="0" w:color="auto"/>
              <w:bottom w:val="single" w:sz="12" w:space="0" w:color="auto"/>
              <w:right w:val="single" w:sz="6" w:space="0" w:color="auto"/>
            </w:tcBorders>
            <w:tcMar>
              <w:top w:w="30" w:type="dxa"/>
              <w:left w:w="45" w:type="dxa"/>
              <w:bottom w:w="30" w:type="dxa"/>
              <w:right w:w="45" w:type="dxa"/>
            </w:tcMar>
            <w:hideMark/>
          </w:tcPr>
          <w:p w14:paraId="1773FF8D" w14:textId="77777777" w:rsidR="00FE4593" w:rsidRPr="007F24B9" w:rsidRDefault="00FE4593" w:rsidP="00FE4593">
            <w:pPr>
              <w:jc w:val="center"/>
              <w:rPr>
                <w:rFonts w:ascii="Times New Roman" w:eastAsia="Times New Roman" w:hAnsi="Times New Roman"/>
                <w:sz w:val="20"/>
              </w:rPr>
            </w:pPr>
            <w:r w:rsidRPr="007F24B9">
              <w:rPr>
                <w:rFonts w:ascii="Times New Roman" w:eastAsia="Times New Roman" w:hAnsi="Times New Roman"/>
                <w:sz w:val="20"/>
              </w:rPr>
              <w:t>Coef.</w:t>
            </w:r>
          </w:p>
        </w:tc>
        <w:tc>
          <w:tcPr>
            <w:tcW w:w="441" w:type="pct"/>
            <w:tcBorders>
              <w:top w:val="single" w:sz="6" w:space="0" w:color="auto"/>
              <w:left w:val="single" w:sz="6" w:space="0" w:color="auto"/>
              <w:bottom w:val="single" w:sz="12" w:space="0" w:color="auto"/>
              <w:right w:val="single" w:sz="12" w:space="0" w:color="auto"/>
            </w:tcBorders>
            <w:tcMar>
              <w:top w:w="30" w:type="dxa"/>
              <w:left w:w="45" w:type="dxa"/>
              <w:bottom w:w="30" w:type="dxa"/>
              <w:right w:w="45" w:type="dxa"/>
            </w:tcMar>
            <w:hideMark/>
          </w:tcPr>
          <w:p w14:paraId="581F8688" w14:textId="77777777" w:rsidR="00FE4593" w:rsidRPr="007F24B9" w:rsidRDefault="00FE4593" w:rsidP="00FE4593">
            <w:pPr>
              <w:jc w:val="center"/>
              <w:rPr>
                <w:rFonts w:ascii="Times New Roman" w:eastAsia="Times New Roman" w:hAnsi="Times New Roman"/>
                <w:sz w:val="20"/>
              </w:rPr>
            </w:pPr>
            <w:r w:rsidRPr="007F24B9">
              <w:rPr>
                <w:rFonts w:ascii="Times New Roman" w:eastAsia="Times New Roman" w:hAnsi="Times New Roman"/>
                <w:sz w:val="20"/>
              </w:rPr>
              <w:t>t-stat</w:t>
            </w:r>
          </w:p>
        </w:tc>
        <w:tc>
          <w:tcPr>
            <w:tcW w:w="552" w:type="pct"/>
            <w:tcBorders>
              <w:top w:val="single" w:sz="6" w:space="0" w:color="auto"/>
              <w:left w:val="single" w:sz="12" w:space="0" w:color="auto"/>
              <w:bottom w:val="single" w:sz="12" w:space="0" w:color="auto"/>
              <w:right w:val="single" w:sz="6" w:space="0" w:color="auto"/>
            </w:tcBorders>
            <w:tcMar>
              <w:top w:w="30" w:type="dxa"/>
              <w:left w:w="45" w:type="dxa"/>
              <w:bottom w:w="30" w:type="dxa"/>
              <w:right w:w="45" w:type="dxa"/>
            </w:tcMar>
            <w:hideMark/>
          </w:tcPr>
          <w:p w14:paraId="4C790618" w14:textId="77777777" w:rsidR="00FE4593" w:rsidRPr="007F24B9" w:rsidRDefault="00FE4593" w:rsidP="00FE4593">
            <w:pPr>
              <w:jc w:val="center"/>
              <w:rPr>
                <w:rFonts w:ascii="Times New Roman" w:eastAsia="Times New Roman" w:hAnsi="Times New Roman"/>
                <w:sz w:val="20"/>
              </w:rPr>
            </w:pPr>
            <w:r w:rsidRPr="007F24B9">
              <w:rPr>
                <w:rFonts w:ascii="Times New Roman" w:eastAsia="Times New Roman" w:hAnsi="Times New Roman"/>
                <w:sz w:val="20"/>
              </w:rPr>
              <w:t>Coef.</w:t>
            </w:r>
          </w:p>
        </w:tc>
        <w:tc>
          <w:tcPr>
            <w:tcW w:w="553" w:type="pct"/>
            <w:tcBorders>
              <w:top w:val="single" w:sz="6" w:space="0" w:color="auto"/>
              <w:left w:val="single" w:sz="6" w:space="0" w:color="auto"/>
              <w:bottom w:val="single" w:sz="12" w:space="0" w:color="auto"/>
              <w:right w:val="single" w:sz="12" w:space="0" w:color="auto"/>
            </w:tcBorders>
            <w:tcMar>
              <w:top w:w="30" w:type="dxa"/>
              <w:left w:w="45" w:type="dxa"/>
              <w:bottom w:w="30" w:type="dxa"/>
              <w:right w:w="45" w:type="dxa"/>
            </w:tcMar>
            <w:hideMark/>
          </w:tcPr>
          <w:p w14:paraId="59EB95C4" w14:textId="77777777" w:rsidR="00FE4593" w:rsidRPr="007F24B9" w:rsidRDefault="00FE4593" w:rsidP="00FE4593">
            <w:pPr>
              <w:jc w:val="center"/>
              <w:rPr>
                <w:rFonts w:ascii="Times New Roman" w:eastAsia="Times New Roman" w:hAnsi="Times New Roman"/>
                <w:sz w:val="20"/>
              </w:rPr>
            </w:pPr>
            <w:r w:rsidRPr="007F24B9">
              <w:rPr>
                <w:rFonts w:ascii="Times New Roman" w:eastAsia="Times New Roman" w:hAnsi="Times New Roman"/>
                <w:sz w:val="20"/>
              </w:rPr>
              <w:t>t-stat</w:t>
            </w:r>
          </w:p>
        </w:tc>
        <w:tc>
          <w:tcPr>
            <w:tcW w:w="477" w:type="pct"/>
            <w:tcBorders>
              <w:top w:val="single" w:sz="6" w:space="0" w:color="auto"/>
              <w:left w:val="single" w:sz="12" w:space="0" w:color="auto"/>
              <w:bottom w:val="single" w:sz="12" w:space="0" w:color="auto"/>
              <w:right w:val="single" w:sz="4" w:space="0" w:color="auto"/>
            </w:tcBorders>
          </w:tcPr>
          <w:p w14:paraId="3BDF0C7D" w14:textId="6608FCFD" w:rsidR="00FE4593" w:rsidRPr="007F24B9" w:rsidRDefault="00FE4593" w:rsidP="00FE4593">
            <w:pPr>
              <w:jc w:val="center"/>
              <w:rPr>
                <w:rFonts w:ascii="Times New Roman" w:eastAsia="Times New Roman" w:hAnsi="Times New Roman"/>
                <w:sz w:val="20"/>
              </w:rPr>
            </w:pPr>
            <w:r w:rsidRPr="007F24B9">
              <w:rPr>
                <w:rFonts w:ascii="Times New Roman" w:eastAsia="Times New Roman" w:hAnsi="Times New Roman"/>
                <w:sz w:val="20"/>
              </w:rPr>
              <w:t>Coef.</w:t>
            </w:r>
          </w:p>
        </w:tc>
        <w:tc>
          <w:tcPr>
            <w:tcW w:w="475" w:type="pct"/>
            <w:tcBorders>
              <w:top w:val="single" w:sz="6" w:space="0" w:color="auto"/>
              <w:left w:val="single" w:sz="4" w:space="0" w:color="auto"/>
              <w:bottom w:val="single" w:sz="12" w:space="0" w:color="auto"/>
              <w:right w:val="single" w:sz="18" w:space="0" w:color="auto"/>
            </w:tcBorders>
          </w:tcPr>
          <w:p w14:paraId="1DBBF1B6" w14:textId="01DE6C60" w:rsidR="00FE4593" w:rsidRPr="007F24B9" w:rsidRDefault="00FE4593" w:rsidP="00FE4593">
            <w:pPr>
              <w:jc w:val="center"/>
              <w:rPr>
                <w:rFonts w:ascii="Times New Roman" w:eastAsia="Times New Roman" w:hAnsi="Times New Roman"/>
                <w:sz w:val="20"/>
              </w:rPr>
            </w:pPr>
            <w:r w:rsidRPr="007F24B9">
              <w:rPr>
                <w:rFonts w:ascii="Times New Roman" w:eastAsia="Times New Roman" w:hAnsi="Times New Roman"/>
                <w:sz w:val="20"/>
              </w:rPr>
              <w:t>t-stat</w:t>
            </w:r>
          </w:p>
        </w:tc>
      </w:tr>
      <w:tr w:rsidR="00550C2F" w:rsidRPr="007F24B9" w14:paraId="520D509A" w14:textId="77777777" w:rsidTr="00F424E8">
        <w:trPr>
          <w:trHeight w:val="23"/>
        </w:trPr>
        <w:tc>
          <w:tcPr>
            <w:tcW w:w="5000" w:type="pct"/>
            <w:gridSpan w:val="7"/>
            <w:tcBorders>
              <w:top w:val="single" w:sz="12" w:space="0" w:color="auto"/>
              <w:left w:val="single" w:sz="18" w:space="0" w:color="auto"/>
              <w:right w:val="single" w:sz="18" w:space="0" w:color="auto"/>
            </w:tcBorders>
            <w:tcMar>
              <w:top w:w="30" w:type="dxa"/>
              <w:left w:w="45" w:type="dxa"/>
              <w:bottom w:w="30" w:type="dxa"/>
              <w:right w:w="45" w:type="dxa"/>
            </w:tcMar>
            <w:vAlign w:val="center"/>
          </w:tcPr>
          <w:p w14:paraId="176D2ABD" w14:textId="730C5CE4" w:rsidR="00550C2F" w:rsidRPr="007F24B9" w:rsidRDefault="00550C2F" w:rsidP="00FE4593">
            <w:pPr>
              <w:rPr>
                <w:rFonts w:ascii="Times New Roman" w:eastAsiaTheme="minorEastAsia" w:hAnsi="Times New Roman"/>
                <w:b/>
                <w:bCs/>
                <w:sz w:val="20"/>
                <w:lang w:eastAsia="ko-KR"/>
              </w:rPr>
            </w:pPr>
            <w:r w:rsidRPr="007F24B9">
              <w:rPr>
                <w:rFonts w:ascii="Times New Roman" w:eastAsiaTheme="minorEastAsia" w:hAnsi="Times New Roman" w:hint="eastAsia"/>
                <w:b/>
                <w:bCs/>
                <w:sz w:val="20"/>
                <w:lang w:eastAsia="ko-KR"/>
              </w:rPr>
              <w:t>Individual Characteristics</w:t>
            </w:r>
          </w:p>
        </w:tc>
      </w:tr>
      <w:tr w:rsidR="00AB0920" w:rsidRPr="007F24B9" w14:paraId="5D14FADD" w14:textId="44DB1F30" w:rsidTr="00904F28">
        <w:trPr>
          <w:trHeight w:val="144"/>
        </w:trPr>
        <w:tc>
          <w:tcPr>
            <w:tcW w:w="5000" w:type="pct"/>
            <w:gridSpan w:val="7"/>
            <w:tcBorders>
              <w:top w:val="single" w:sz="12" w:space="0" w:color="auto"/>
              <w:left w:val="single" w:sz="18" w:space="0" w:color="auto"/>
              <w:right w:val="single" w:sz="18" w:space="0" w:color="auto"/>
            </w:tcBorders>
            <w:tcMar>
              <w:top w:w="30" w:type="dxa"/>
              <w:left w:w="45" w:type="dxa"/>
              <w:bottom w:w="30" w:type="dxa"/>
              <w:right w:w="45" w:type="dxa"/>
            </w:tcMar>
            <w:vAlign w:val="center"/>
            <w:hideMark/>
          </w:tcPr>
          <w:p w14:paraId="25483EB2" w14:textId="5A163680" w:rsidR="00AB0920" w:rsidRPr="007F24B9" w:rsidRDefault="00AB0920" w:rsidP="00FE4593">
            <w:pPr>
              <w:rPr>
                <w:rFonts w:ascii="Times New Roman" w:eastAsia="Times New Roman" w:hAnsi="Times New Roman"/>
                <w:i/>
                <w:iCs/>
                <w:sz w:val="20"/>
              </w:rPr>
            </w:pPr>
            <w:r w:rsidRPr="007F24B9">
              <w:rPr>
                <w:rFonts w:ascii="Times New Roman" w:eastAsia="Times New Roman" w:hAnsi="Times New Roman"/>
                <w:i/>
                <w:iCs/>
                <w:sz w:val="20"/>
              </w:rPr>
              <w:t>Age (</w:t>
            </w:r>
            <w:r w:rsidR="00FA0B71" w:rsidRPr="007F24B9">
              <w:rPr>
                <w:rFonts w:ascii="Times New Roman" w:eastAsia="Times New Roman" w:hAnsi="Times New Roman"/>
                <w:i/>
                <w:iCs/>
                <w:sz w:val="20"/>
              </w:rPr>
              <w:t xml:space="preserve">base: </w:t>
            </w:r>
            <w:r w:rsidR="00963BBE" w:rsidRPr="007F24B9">
              <w:rPr>
                <w:rFonts w:ascii="Times New Roman" w:eastAsiaTheme="minorEastAsia" w:hAnsi="Times New Roman" w:hint="eastAsia"/>
                <w:i/>
                <w:iCs/>
                <w:sz w:val="20"/>
                <w:lang w:eastAsia="ko-KR"/>
              </w:rPr>
              <w:t>50-</w:t>
            </w:r>
            <w:r w:rsidRPr="007F24B9">
              <w:rPr>
                <w:rFonts w:ascii="Times New Roman" w:eastAsiaTheme="minorEastAsia" w:hAnsi="Times New Roman" w:hint="eastAsia"/>
                <w:i/>
                <w:iCs/>
                <w:sz w:val="20"/>
                <w:lang w:eastAsia="ko-KR"/>
              </w:rPr>
              <w:t>6</w:t>
            </w:r>
            <w:r w:rsidR="00963BBE" w:rsidRPr="007F24B9">
              <w:rPr>
                <w:rFonts w:ascii="Times New Roman" w:eastAsiaTheme="minorEastAsia" w:hAnsi="Times New Roman" w:hint="eastAsia"/>
                <w:i/>
                <w:iCs/>
                <w:sz w:val="20"/>
                <w:lang w:eastAsia="ko-KR"/>
              </w:rPr>
              <w:t>4</w:t>
            </w:r>
            <w:r w:rsidRPr="007F24B9">
              <w:rPr>
                <w:rFonts w:ascii="Times New Roman" w:eastAsia="Times New Roman" w:hAnsi="Times New Roman"/>
                <w:i/>
                <w:iCs/>
                <w:sz w:val="20"/>
              </w:rPr>
              <w:t xml:space="preserve"> years old)</w:t>
            </w:r>
          </w:p>
        </w:tc>
      </w:tr>
      <w:tr w:rsidR="009C3C33" w:rsidRPr="007F24B9" w14:paraId="2236F769" w14:textId="384210D0" w:rsidTr="00261282">
        <w:trPr>
          <w:trHeight w:val="144"/>
        </w:trPr>
        <w:tc>
          <w:tcPr>
            <w:tcW w:w="1950" w:type="pct"/>
            <w:tcBorders>
              <w:top w:val="single" w:sz="6" w:space="0" w:color="auto"/>
              <w:left w:val="single" w:sz="18" w:space="0" w:color="auto"/>
              <w:bottom w:val="single" w:sz="8" w:space="0" w:color="auto"/>
              <w:right w:val="single" w:sz="12" w:space="0" w:color="auto"/>
            </w:tcBorders>
            <w:tcMar>
              <w:top w:w="30" w:type="dxa"/>
              <w:left w:w="45" w:type="dxa"/>
              <w:bottom w:w="30" w:type="dxa"/>
              <w:right w:w="45" w:type="dxa"/>
            </w:tcMar>
            <w:vAlign w:val="center"/>
            <w:hideMark/>
          </w:tcPr>
          <w:p w14:paraId="08E8CFF9" w14:textId="4A56513E" w:rsidR="009C3C33" w:rsidRPr="007F24B9" w:rsidRDefault="009C3C33" w:rsidP="009C3C33">
            <w:pPr>
              <w:ind w:left="144"/>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65 years or older</w:t>
            </w:r>
          </w:p>
        </w:tc>
        <w:tc>
          <w:tcPr>
            <w:tcW w:w="552" w:type="pct"/>
            <w:tcBorders>
              <w:top w:val="single" w:sz="6" w:space="0" w:color="auto"/>
              <w:left w:val="single" w:sz="12" w:space="0" w:color="auto"/>
              <w:bottom w:val="single" w:sz="8" w:space="0" w:color="auto"/>
              <w:right w:val="single" w:sz="6" w:space="0" w:color="auto"/>
            </w:tcBorders>
            <w:tcMar>
              <w:top w:w="30" w:type="dxa"/>
              <w:left w:w="45" w:type="dxa"/>
              <w:bottom w:w="30" w:type="dxa"/>
              <w:right w:w="45" w:type="dxa"/>
            </w:tcMar>
          </w:tcPr>
          <w:p w14:paraId="667F3535" w14:textId="6F19B0D6" w:rsidR="009C3C33" w:rsidRPr="007F24B9" w:rsidRDefault="00094816" w:rsidP="009C3C33">
            <w:pPr>
              <w:jc w:val="right"/>
              <w:rPr>
                <w:rFonts w:ascii="Times New Roman" w:eastAsia="Times New Roman" w:hAnsi="Times New Roman"/>
                <w:sz w:val="20"/>
              </w:rPr>
            </w:pPr>
            <w:r w:rsidRPr="007F24B9">
              <w:rPr>
                <w:rFonts w:ascii="Times New Roman" w:eastAsiaTheme="minorEastAsia" w:hAnsi="Times New Roman" w:hint="eastAsia"/>
                <w:sz w:val="20"/>
                <w:lang w:eastAsia="ko-KR"/>
              </w:rPr>
              <w:t>-0.</w:t>
            </w:r>
            <w:r w:rsidR="0075047A" w:rsidRPr="007F24B9">
              <w:rPr>
                <w:rFonts w:ascii="Times New Roman" w:eastAsiaTheme="minorEastAsia" w:hAnsi="Times New Roman" w:hint="eastAsia"/>
                <w:sz w:val="20"/>
                <w:lang w:eastAsia="ko-KR"/>
              </w:rPr>
              <w:t>10</w:t>
            </w:r>
            <w:r w:rsidR="000A1ADF" w:rsidRPr="007F24B9">
              <w:rPr>
                <w:rFonts w:ascii="Times New Roman" w:eastAsiaTheme="minorEastAsia" w:hAnsi="Times New Roman" w:hint="eastAsia"/>
                <w:sz w:val="20"/>
                <w:lang w:eastAsia="ko-KR"/>
              </w:rPr>
              <w:t>9</w:t>
            </w:r>
          </w:p>
        </w:tc>
        <w:tc>
          <w:tcPr>
            <w:tcW w:w="441" w:type="pct"/>
            <w:tcBorders>
              <w:top w:val="single" w:sz="6" w:space="0" w:color="auto"/>
              <w:left w:val="single" w:sz="6" w:space="0" w:color="auto"/>
              <w:bottom w:val="single" w:sz="8" w:space="0" w:color="auto"/>
              <w:right w:val="single" w:sz="12" w:space="0" w:color="auto"/>
            </w:tcBorders>
            <w:tcMar>
              <w:top w:w="30" w:type="dxa"/>
              <w:left w:w="45" w:type="dxa"/>
              <w:bottom w:w="30" w:type="dxa"/>
              <w:right w:w="45" w:type="dxa"/>
            </w:tcMar>
          </w:tcPr>
          <w:p w14:paraId="39292379" w14:textId="47A1F6DB" w:rsidR="009C3C33" w:rsidRPr="007F24B9" w:rsidRDefault="00094816" w:rsidP="009C3C33">
            <w:pPr>
              <w:jc w:val="right"/>
              <w:rPr>
                <w:rFonts w:ascii="Times New Roman" w:eastAsia="Times New Roman" w:hAnsi="Times New Roman"/>
                <w:sz w:val="20"/>
              </w:rPr>
            </w:pPr>
            <w:r w:rsidRPr="007F24B9">
              <w:rPr>
                <w:rFonts w:ascii="Times New Roman" w:eastAsiaTheme="minorEastAsia" w:hAnsi="Times New Roman" w:hint="eastAsia"/>
                <w:sz w:val="20"/>
                <w:lang w:eastAsia="ko-KR"/>
              </w:rPr>
              <w:t>-</w:t>
            </w:r>
            <w:r w:rsidR="0075047A" w:rsidRPr="007F24B9">
              <w:rPr>
                <w:rFonts w:ascii="Times New Roman" w:eastAsiaTheme="minorEastAsia" w:hAnsi="Times New Roman" w:hint="eastAsia"/>
                <w:sz w:val="20"/>
                <w:lang w:eastAsia="ko-KR"/>
              </w:rPr>
              <w:t>2.</w:t>
            </w:r>
            <w:r w:rsidR="000A1ADF" w:rsidRPr="007F24B9">
              <w:rPr>
                <w:rFonts w:ascii="Times New Roman" w:eastAsiaTheme="minorEastAsia" w:hAnsi="Times New Roman" w:hint="eastAsia"/>
                <w:sz w:val="20"/>
                <w:lang w:eastAsia="ko-KR"/>
              </w:rPr>
              <w:t>26</w:t>
            </w:r>
          </w:p>
        </w:tc>
        <w:tc>
          <w:tcPr>
            <w:tcW w:w="552" w:type="pct"/>
            <w:tcBorders>
              <w:top w:val="single" w:sz="6" w:space="0" w:color="auto"/>
              <w:left w:val="single" w:sz="12" w:space="0" w:color="auto"/>
              <w:bottom w:val="single" w:sz="8" w:space="0" w:color="auto"/>
              <w:right w:val="single" w:sz="6" w:space="0" w:color="auto"/>
            </w:tcBorders>
            <w:tcMar>
              <w:top w:w="30" w:type="dxa"/>
              <w:left w:w="45" w:type="dxa"/>
              <w:bottom w:w="30" w:type="dxa"/>
              <w:right w:w="45" w:type="dxa"/>
            </w:tcMar>
          </w:tcPr>
          <w:p w14:paraId="7A429E0A" w14:textId="2B8805CD" w:rsidR="009C3C33" w:rsidRPr="007F24B9" w:rsidRDefault="00094816" w:rsidP="009C3C33">
            <w:pPr>
              <w:jc w:val="right"/>
              <w:rPr>
                <w:rFonts w:ascii="Times New Roman" w:eastAsia="Times New Roman" w:hAnsi="Times New Roman"/>
                <w:sz w:val="20"/>
              </w:rPr>
            </w:pPr>
            <w:r w:rsidRPr="007F24B9">
              <w:rPr>
                <w:rFonts w:ascii="Times New Roman" w:eastAsiaTheme="minorEastAsia" w:hAnsi="Times New Roman" w:hint="eastAsia"/>
                <w:sz w:val="20"/>
                <w:lang w:eastAsia="ko-KR"/>
              </w:rPr>
              <w:t>-</w:t>
            </w:r>
            <w:r w:rsidR="00AF5FAB" w:rsidRPr="007F24B9">
              <w:rPr>
                <w:rFonts w:ascii="Times New Roman" w:eastAsiaTheme="minorEastAsia" w:hAnsi="Times New Roman" w:hint="eastAsia"/>
                <w:sz w:val="20"/>
                <w:lang w:eastAsia="ko-KR"/>
              </w:rPr>
              <w:t>0.147</w:t>
            </w:r>
          </w:p>
        </w:tc>
        <w:tc>
          <w:tcPr>
            <w:tcW w:w="553" w:type="pct"/>
            <w:tcBorders>
              <w:top w:val="single" w:sz="6" w:space="0" w:color="auto"/>
              <w:left w:val="single" w:sz="6" w:space="0" w:color="auto"/>
              <w:bottom w:val="single" w:sz="8" w:space="0" w:color="auto"/>
              <w:right w:val="single" w:sz="12" w:space="0" w:color="auto"/>
            </w:tcBorders>
            <w:tcMar>
              <w:top w:w="30" w:type="dxa"/>
              <w:left w:w="45" w:type="dxa"/>
              <w:bottom w:w="30" w:type="dxa"/>
              <w:right w:w="45" w:type="dxa"/>
            </w:tcMar>
          </w:tcPr>
          <w:p w14:paraId="68B5D19A" w14:textId="63322836" w:rsidR="009C3C33" w:rsidRPr="007F24B9" w:rsidRDefault="00094816" w:rsidP="009C3C33">
            <w:pPr>
              <w:jc w:val="right"/>
              <w:rPr>
                <w:rFonts w:ascii="Times New Roman" w:eastAsia="Times New Roman" w:hAnsi="Times New Roman"/>
                <w:sz w:val="20"/>
              </w:rPr>
            </w:pPr>
            <w:r w:rsidRPr="007F24B9">
              <w:rPr>
                <w:rFonts w:ascii="Times New Roman" w:eastAsiaTheme="minorEastAsia" w:hAnsi="Times New Roman" w:hint="eastAsia"/>
                <w:sz w:val="20"/>
                <w:lang w:eastAsia="ko-KR"/>
              </w:rPr>
              <w:t>-</w:t>
            </w:r>
            <w:r w:rsidR="001C4D71" w:rsidRPr="007F24B9">
              <w:rPr>
                <w:rFonts w:ascii="Times New Roman" w:eastAsiaTheme="minorEastAsia" w:hAnsi="Times New Roman" w:hint="eastAsia"/>
                <w:sz w:val="20"/>
                <w:lang w:eastAsia="ko-KR"/>
              </w:rPr>
              <w:t>2.89</w:t>
            </w:r>
          </w:p>
        </w:tc>
        <w:tc>
          <w:tcPr>
            <w:tcW w:w="477" w:type="pct"/>
            <w:tcBorders>
              <w:top w:val="single" w:sz="6" w:space="0" w:color="auto"/>
              <w:left w:val="single" w:sz="12" w:space="0" w:color="auto"/>
              <w:bottom w:val="single" w:sz="8" w:space="0" w:color="auto"/>
              <w:right w:val="single" w:sz="4" w:space="0" w:color="auto"/>
            </w:tcBorders>
          </w:tcPr>
          <w:p w14:paraId="260C8590" w14:textId="0A410180" w:rsidR="009C3C33" w:rsidRPr="007F24B9" w:rsidRDefault="009C3C33" w:rsidP="009C3C33">
            <w:pPr>
              <w:jc w:val="right"/>
              <w:rPr>
                <w:rFonts w:ascii="Times New Roman" w:eastAsia="Times New Roman" w:hAnsi="Times New Roman"/>
                <w:sz w:val="20"/>
              </w:rPr>
            </w:pPr>
            <w:r w:rsidRPr="007F24B9">
              <w:rPr>
                <w:rFonts w:ascii="Times New Roman" w:eastAsia="Times New Roman" w:hAnsi="Times New Roman"/>
                <w:sz w:val="20"/>
              </w:rPr>
              <w:t>--</w:t>
            </w:r>
          </w:p>
        </w:tc>
        <w:tc>
          <w:tcPr>
            <w:tcW w:w="475" w:type="pct"/>
            <w:tcBorders>
              <w:top w:val="single" w:sz="6" w:space="0" w:color="auto"/>
              <w:left w:val="single" w:sz="4" w:space="0" w:color="auto"/>
              <w:bottom w:val="single" w:sz="8" w:space="0" w:color="auto"/>
              <w:right w:val="single" w:sz="18" w:space="0" w:color="auto"/>
            </w:tcBorders>
          </w:tcPr>
          <w:p w14:paraId="598BCAE9" w14:textId="7913C416" w:rsidR="009C3C33" w:rsidRPr="007F24B9" w:rsidRDefault="009C3C33" w:rsidP="009C3C33">
            <w:pPr>
              <w:jc w:val="right"/>
              <w:rPr>
                <w:rFonts w:ascii="Times New Roman" w:eastAsia="Times New Roman" w:hAnsi="Times New Roman"/>
                <w:sz w:val="20"/>
              </w:rPr>
            </w:pPr>
            <w:r w:rsidRPr="007F24B9">
              <w:rPr>
                <w:rFonts w:ascii="Times New Roman" w:eastAsia="Times New Roman" w:hAnsi="Times New Roman"/>
                <w:sz w:val="20"/>
              </w:rPr>
              <w:t>--</w:t>
            </w:r>
          </w:p>
        </w:tc>
      </w:tr>
      <w:tr w:rsidR="009C3C33" w:rsidRPr="007F24B9" w14:paraId="145570E1" w14:textId="3ECA023A" w:rsidTr="00267B4A">
        <w:trPr>
          <w:trHeight w:val="144"/>
        </w:trPr>
        <w:tc>
          <w:tcPr>
            <w:tcW w:w="5000" w:type="pct"/>
            <w:gridSpan w:val="7"/>
            <w:tcBorders>
              <w:top w:val="single" w:sz="8" w:space="0" w:color="auto"/>
              <w:left w:val="single" w:sz="18" w:space="0" w:color="auto"/>
              <w:bottom w:val="single" w:sz="4" w:space="0" w:color="auto"/>
              <w:right w:val="single" w:sz="18" w:space="0" w:color="auto"/>
            </w:tcBorders>
            <w:tcMar>
              <w:top w:w="30" w:type="dxa"/>
              <w:left w:w="45" w:type="dxa"/>
              <w:bottom w:w="30" w:type="dxa"/>
              <w:right w:w="45" w:type="dxa"/>
            </w:tcMar>
            <w:vAlign w:val="center"/>
            <w:hideMark/>
          </w:tcPr>
          <w:p w14:paraId="66C43120" w14:textId="42B99308" w:rsidR="009C3C33" w:rsidRPr="007F24B9" w:rsidRDefault="003A3F28" w:rsidP="009C3C33">
            <w:pPr>
              <w:rPr>
                <w:rFonts w:ascii="Times New Roman" w:eastAsia="Times New Roman" w:hAnsi="Times New Roman"/>
                <w:sz w:val="20"/>
              </w:rPr>
            </w:pPr>
            <w:r w:rsidRPr="007F24B9">
              <w:rPr>
                <w:rFonts w:ascii="Times New Roman" w:eastAsia="Times New Roman" w:hAnsi="Times New Roman"/>
                <w:i/>
                <w:iCs/>
                <w:sz w:val="20"/>
              </w:rPr>
              <w:t>Gender (</w:t>
            </w:r>
            <w:r w:rsidR="00FA0B71" w:rsidRPr="007F24B9">
              <w:rPr>
                <w:rFonts w:ascii="Times New Roman" w:eastAsia="Times New Roman" w:hAnsi="Times New Roman"/>
                <w:i/>
                <w:iCs/>
                <w:sz w:val="20"/>
              </w:rPr>
              <w:t xml:space="preserve">base: </w:t>
            </w:r>
            <w:r w:rsidRPr="007F24B9">
              <w:rPr>
                <w:rFonts w:ascii="Times New Roman" w:eastAsiaTheme="minorEastAsia" w:hAnsi="Times New Roman" w:hint="eastAsia"/>
                <w:i/>
                <w:iCs/>
                <w:sz w:val="20"/>
                <w:lang w:eastAsia="ko-KR"/>
              </w:rPr>
              <w:t>M</w:t>
            </w:r>
            <w:r w:rsidRPr="007F24B9">
              <w:rPr>
                <w:rFonts w:ascii="Times New Roman" w:eastAsia="Times New Roman" w:hAnsi="Times New Roman"/>
                <w:i/>
                <w:iCs/>
                <w:sz w:val="20"/>
              </w:rPr>
              <w:t>an)</w:t>
            </w:r>
          </w:p>
        </w:tc>
      </w:tr>
      <w:tr w:rsidR="009C3C33" w:rsidRPr="007F24B9" w14:paraId="411EFA02" w14:textId="77777777" w:rsidTr="00261282">
        <w:trPr>
          <w:trHeight w:val="144"/>
        </w:trPr>
        <w:tc>
          <w:tcPr>
            <w:tcW w:w="1950" w:type="pct"/>
            <w:tcBorders>
              <w:top w:val="single" w:sz="4" w:space="0" w:color="auto"/>
              <w:left w:val="single" w:sz="18" w:space="0" w:color="auto"/>
              <w:bottom w:val="single" w:sz="6" w:space="0" w:color="auto"/>
              <w:right w:val="single" w:sz="12" w:space="0" w:color="auto"/>
            </w:tcBorders>
            <w:tcMar>
              <w:top w:w="30" w:type="dxa"/>
              <w:left w:w="45" w:type="dxa"/>
              <w:bottom w:w="30" w:type="dxa"/>
              <w:right w:w="45" w:type="dxa"/>
            </w:tcMar>
            <w:vAlign w:val="center"/>
          </w:tcPr>
          <w:p w14:paraId="23764FD0" w14:textId="5D0F0076" w:rsidR="009C3C33" w:rsidRPr="007F24B9" w:rsidRDefault="003A3F28" w:rsidP="009C3C33">
            <w:pPr>
              <w:ind w:left="144"/>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Woman</w:t>
            </w:r>
          </w:p>
        </w:tc>
        <w:tc>
          <w:tcPr>
            <w:tcW w:w="552" w:type="pct"/>
            <w:tcBorders>
              <w:top w:val="single" w:sz="4" w:space="0" w:color="auto"/>
              <w:left w:val="single" w:sz="12" w:space="0" w:color="auto"/>
              <w:bottom w:val="single" w:sz="6" w:space="0" w:color="auto"/>
              <w:right w:val="single" w:sz="6" w:space="0" w:color="auto"/>
            </w:tcBorders>
            <w:tcMar>
              <w:top w:w="30" w:type="dxa"/>
              <w:left w:w="45" w:type="dxa"/>
              <w:bottom w:w="30" w:type="dxa"/>
              <w:right w:w="45" w:type="dxa"/>
            </w:tcMar>
          </w:tcPr>
          <w:p w14:paraId="0CE0AEAA" w14:textId="2391A747" w:rsidR="009C3C33" w:rsidRPr="007F24B9" w:rsidRDefault="000A1ADF" w:rsidP="000A1ADF">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-0.143</w:t>
            </w:r>
          </w:p>
        </w:tc>
        <w:tc>
          <w:tcPr>
            <w:tcW w:w="441" w:type="pct"/>
            <w:tcBorders>
              <w:top w:val="single" w:sz="4" w:space="0" w:color="auto"/>
              <w:left w:val="single" w:sz="6" w:space="0" w:color="auto"/>
              <w:bottom w:val="single" w:sz="6" w:space="0" w:color="auto"/>
              <w:right w:val="single" w:sz="12" w:space="0" w:color="auto"/>
            </w:tcBorders>
            <w:tcMar>
              <w:top w:w="30" w:type="dxa"/>
              <w:left w:w="45" w:type="dxa"/>
              <w:bottom w:w="30" w:type="dxa"/>
              <w:right w:w="45" w:type="dxa"/>
            </w:tcMar>
          </w:tcPr>
          <w:p w14:paraId="229969E7" w14:textId="3D390694" w:rsidR="009C3C33" w:rsidRPr="007F24B9" w:rsidRDefault="000A1ADF" w:rsidP="009C3C33">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-3.15</w:t>
            </w:r>
          </w:p>
        </w:tc>
        <w:tc>
          <w:tcPr>
            <w:tcW w:w="552" w:type="pct"/>
            <w:tcBorders>
              <w:top w:val="single" w:sz="4" w:space="0" w:color="auto"/>
              <w:left w:val="single" w:sz="12" w:space="0" w:color="auto"/>
              <w:bottom w:val="single" w:sz="6" w:space="0" w:color="auto"/>
              <w:right w:val="single" w:sz="6" w:space="0" w:color="auto"/>
            </w:tcBorders>
            <w:tcMar>
              <w:top w:w="30" w:type="dxa"/>
              <w:left w:w="45" w:type="dxa"/>
              <w:bottom w:w="30" w:type="dxa"/>
              <w:right w:w="45" w:type="dxa"/>
            </w:tcMar>
          </w:tcPr>
          <w:p w14:paraId="72809AF5" w14:textId="4FBE3754" w:rsidR="009C3C33" w:rsidRPr="007F24B9" w:rsidRDefault="00AF5FAB" w:rsidP="009C3C33">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-0.160</w:t>
            </w:r>
          </w:p>
        </w:tc>
        <w:tc>
          <w:tcPr>
            <w:tcW w:w="553" w:type="pct"/>
            <w:tcBorders>
              <w:top w:val="single" w:sz="4" w:space="0" w:color="auto"/>
              <w:left w:val="single" w:sz="6" w:space="0" w:color="auto"/>
              <w:right w:val="single" w:sz="12" w:space="0" w:color="auto"/>
            </w:tcBorders>
            <w:tcMar>
              <w:top w:w="30" w:type="dxa"/>
              <w:left w:w="45" w:type="dxa"/>
              <w:bottom w:w="30" w:type="dxa"/>
              <w:right w:w="45" w:type="dxa"/>
            </w:tcMar>
          </w:tcPr>
          <w:p w14:paraId="4AC59340" w14:textId="4F5D6A01" w:rsidR="009C3C33" w:rsidRPr="007F24B9" w:rsidRDefault="00AF5FAB" w:rsidP="009C3C33">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-3.21</w:t>
            </w:r>
          </w:p>
        </w:tc>
        <w:tc>
          <w:tcPr>
            <w:tcW w:w="477" w:type="pct"/>
            <w:tcBorders>
              <w:top w:val="single" w:sz="4" w:space="0" w:color="auto"/>
              <w:left w:val="single" w:sz="12" w:space="0" w:color="auto"/>
              <w:right w:val="single" w:sz="4" w:space="0" w:color="auto"/>
            </w:tcBorders>
          </w:tcPr>
          <w:p w14:paraId="18AEEDF9" w14:textId="4DB8960F" w:rsidR="009C3C33" w:rsidRPr="007F24B9" w:rsidRDefault="00192CE5" w:rsidP="009C3C33">
            <w:pPr>
              <w:jc w:val="right"/>
              <w:rPr>
                <w:rFonts w:ascii="Times New Roman" w:eastAsia="Times New Roman" w:hAnsi="Times New Roman"/>
                <w:sz w:val="20"/>
              </w:rPr>
            </w:pPr>
            <w:r w:rsidRPr="007F24B9">
              <w:rPr>
                <w:rFonts w:ascii="Times New Roman" w:eastAsiaTheme="minorEastAsia" w:hAnsi="Times New Roman" w:hint="eastAsia"/>
                <w:sz w:val="20"/>
                <w:lang w:eastAsia="ko-KR"/>
              </w:rPr>
              <w:t>--</w:t>
            </w:r>
          </w:p>
        </w:tc>
        <w:tc>
          <w:tcPr>
            <w:tcW w:w="475" w:type="pct"/>
            <w:tcBorders>
              <w:top w:val="single" w:sz="4" w:space="0" w:color="auto"/>
              <w:left w:val="single" w:sz="4" w:space="0" w:color="auto"/>
              <w:right w:val="single" w:sz="18" w:space="0" w:color="auto"/>
            </w:tcBorders>
          </w:tcPr>
          <w:p w14:paraId="09EC1645" w14:textId="6382C8BA" w:rsidR="009C3C33" w:rsidRPr="007F24B9" w:rsidRDefault="00192CE5" w:rsidP="009C3C33">
            <w:pPr>
              <w:jc w:val="right"/>
              <w:rPr>
                <w:rFonts w:ascii="Times New Roman" w:eastAsia="Times New Roman" w:hAnsi="Times New Roman"/>
                <w:sz w:val="20"/>
              </w:rPr>
            </w:pPr>
            <w:r w:rsidRPr="007F24B9">
              <w:rPr>
                <w:rFonts w:ascii="Times New Roman" w:eastAsiaTheme="minorEastAsia" w:hAnsi="Times New Roman" w:hint="eastAsia"/>
                <w:sz w:val="20"/>
                <w:lang w:eastAsia="ko-KR"/>
              </w:rPr>
              <w:t>--</w:t>
            </w:r>
          </w:p>
        </w:tc>
      </w:tr>
      <w:tr w:rsidR="009C3C33" w:rsidRPr="007F24B9" w14:paraId="7CA3DB9A" w14:textId="7F30E69E" w:rsidTr="00904F28">
        <w:trPr>
          <w:trHeight w:val="144"/>
        </w:trPr>
        <w:tc>
          <w:tcPr>
            <w:tcW w:w="5000" w:type="pct"/>
            <w:gridSpan w:val="7"/>
            <w:tcBorders>
              <w:top w:val="single" w:sz="6" w:space="0" w:color="auto"/>
              <w:left w:val="single" w:sz="18" w:space="0" w:color="auto"/>
              <w:bottom w:val="single" w:sz="6" w:space="0" w:color="auto"/>
              <w:right w:val="single" w:sz="18" w:space="0" w:color="auto"/>
            </w:tcBorders>
            <w:tcMar>
              <w:top w:w="30" w:type="dxa"/>
              <w:left w:w="45" w:type="dxa"/>
              <w:bottom w:w="30" w:type="dxa"/>
              <w:right w:w="45" w:type="dxa"/>
            </w:tcMar>
            <w:vAlign w:val="center"/>
            <w:hideMark/>
          </w:tcPr>
          <w:p w14:paraId="120C3682" w14:textId="79E3627A" w:rsidR="009C3C33" w:rsidRPr="007F24B9" w:rsidRDefault="003A3F28" w:rsidP="009C3C33">
            <w:pPr>
              <w:rPr>
                <w:rFonts w:ascii="Times New Roman" w:eastAsia="Times New Roman" w:hAnsi="Times New Roman"/>
                <w:i/>
                <w:iCs/>
                <w:sz w:val="20"/>
              </w:rPr>
            </w:pPr>
            <w:r w:rsidRPr="007F24B9">
              <w:rPr>
                <w:rFonts w:ascii="Times New Roman" w:eastAsiaTheme="minorEastAsia" w:hAnsi="Times New Roman" w:hint="eastAsia"/>
                <w:i/>
                <w:iCs/>
                <w:sz w:val="20"/>
                <w:lang w:eastAsia="ko-KR"/>
              </w:rPr>
              <w:t>Race/</w:t>
            </w:r>
            <w:r w:rsidRPr="007F24B9">
              <w:rPr>
                <w:rFonts w:ascii="Times New Roman" w:eastAsiaTheme="minorEastAsia" w:hAnsi="Times New Roman"/>
                <w:i/>
                <w:iCs/>
                <w:sz w:val="20"/>
                <w:lang w:eastAsia="ko-KR"/>
              </w:rPr>
              <w:t>Ethnicity</w:t>
            </w:r>
            <w:r w:rsidRPr="007F24B9">
              <w:rPr>
                <w:rFonts w:ascii="Times New Roman" w:eastAsiaTheme="minorEastAsia" w:hAnsi="Times New Roman" w:hint="eastAsia"/>
                <w:i/>
                <w:iCs/>
                <w:sz w:val="20"/>
                <w:lang w:eastAsia="ko-KR"/>
              </w:rPr>
              <w:t xml:space="preserve"> (</w:t>
            </w:r>
            <w:r w:rsidR="00FA0B71" w:rsidRPr="007F24B9">
              <w:rPr>
                <w:rFonts w:ascii="Times New Roman" w:eastAsia="Times New Roman" w:hAnsi="Times New Roman"/>
                <w:i/>
                <w:iCs/>
                <w:sz w:val="20"/>
              </w:rPr>
              <w:t xml:space="preserve">base: </w:t>
            </w:r>
            <w:r w:rsidRPr="007F24B9">
              <w:rPr>
                <w:rFonts w:ascii="Times New Roman" w:eastAsiaTheme="minorEastAsia" w:hAnsi="Times New Roman" w:hint="eastAsia"/>
                <w:i/>
                <w:iCs/>
                <w:sz w:val="20"/>
                <w:lang w:eastAsia="ko-KR"/>
              </w:rPr>
              <w:t>Non-Black)</w:t>
            </w:r>
          </w:p>
        </w:tc>
      </w:tr>
      <w:tr w:rsidR="009C3C33" w:rsidRPr="007F24B9" w14:paraId="18287015" w14:textId="24E9D1DD" w:rsidTr="00261282">
        <w:trPr>
          <w:trHeight w:val="144"/>
        </w:trPr>
        <w:tc>
          <w:tcPr>
            <w:tcW w:w="1950" w:type="pct"/>
            <w:tcBorders>
              <w:top w:val="single" w:sz="6" w:space="0" w:color="auto"/>
              <w:left w:val="single" w:sz="18" w:space="0" w:color="auto"/>
              <w:bottom w:val="single" w:sz="6" w:space="0" w:color="auto"/>
              <w:right w:val="single" w:sz="12" w:space="0" w:color="auto"/>
            </w:tcBorders>
            <w:tcMar>
              <w:top w:w="30" w:type="dxa"/>
              <w:left w:w="45" w:type="dxa"/>
              <w:bottom w:w="30" w:type="dxa"/>
              <w:right w:w="45" w:type="dxa"/>
            </w:tcMar>
            <w:vAlign w:val="center"/>
            <w:hideMark/>
          </w:tcPr>
          <w:p w14:paraId="352C9E6E" w14:textId="3377B150" w:rsidR="009C3C33" w:rsidRPr="007F24B9" w:rsidRDefault="003A3F28" w:rsidP="009C3C33">
            <w:pPr>
              <w:ind w:left="144"/>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Black</w:t>
            </w:r>
          </w:p>
        </w:tc>
        <w:tc>
          <w:tcPr>
            <w:tcW w:w="552" w:type="pct"/>
            <w:tcBorders>
              <w:top w:val="single" w:sz="6" w:space="0" w:color="auto"/>
              <w:left w:val="single" w:sz="12" w:space="0" w:color="auto"/>
              <w:bottom w:val="single" w:sz="6" w:space="0" w:color="auto"/>
              <w:right w:val="single" w:sz="6" w:space="0" w:color="auto"/>
            </w:tcBorders>
            <w:tcMar>
              <w:top w:w="30" w:type="dxa"/>
              <w:left w:w="45" w:type="dxa"/>
              <w:bottom w:w="30" w:type="dxa"/>
              <w:right w:w="45" w:type="dxa"/>
            </w:tcMar>
          </w:tcPr>
          <w:p w14:paraId="0BC6A2A1" w14:textId="1536C839" w:rsidR="009C3C33" w:rsidRPr="007F24B9" w:rsidRDefault="00CD115D" w:rsidP="009C3C33">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w:t>
            </w:r>
            <w:r w:rsidR="000A1ADF" w:rsidRPr="007F24B9">
              <w:rPr>
                <w:rFonts w:ascii="Times New Roman" w:eastAsiaTheme="minorEastAsia" w:hAnsi="Times New Roman" w:hint="eastAsia"/>
                <w:sz w:val="20"/>
                <w:lang w:eastAsia="ko-KR"/>
              </w:rPr>
              <w:t>-</w:t>
            </w:r>
          </w:p>
        </w:tc>
        <w:tc>
          <w:tcPr>
            <w:tcW w:w="441" w:type="pct"/>
            <w:tcBorders>
              <w:top w:val="single" w:sz="6" w:space="0" w:color="auto"/>
              <w:left w:val="single" w:sz="6" w:space="0" w:color="auto"/>
              <w:bottom w:val="single" w:sz="6" w:space="0" w:color="auto"/>
              <w:right w:val="single" w:sz="12" w:space="0" w:color="auto"/>
            </w:tcBorders>
            <w:tcMar>
              <w:top w:w="30" w:type="dxa"/>
              <w:left w:w="45" w:type="dxa"/>
              <w:bottom w:w="30" w:type="dxa"/>
              <w:right w:w="45" w:type="dxa"/>
            </w:tcMar>
          </w:tcPr>
          <w:p w14:paraId="5E59A499" w14:textId="695CF9BF" w:rsidR="009C3C33" w:rsidRPr="007F24B9" w:rsidRDefault="00CD115D" w:rsidP="009C3C33">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w:t>
            </w:r>
            <w:r w:rsidR="000A1ADF" w:rsidRPr="007F24B9">
              <w:rPr>
                <w:rFonts w:ascii="Times New Roman" w:eastAsiaTheme="minorEastAsia" w:hAnsi="Times New Roman" w:hint="eastAsia"/>
                <w:sz w:val="20"/>
                <w:lang w:eastAsia="ko-KR"/>
              </w:rPr>
              <w:t>-</w:t>
            </w:r>
          </w:p>
        </w:tc>
        <w:tc>
          <w:tcPr>
            <w:tcW w:w="552" w:type="pct"/>
            <w:tcBorders>
              <w:top w:val="single" w:sz="6" w:space="0" w:color="auto"/>
              <w:left w:val="single" w:sz="12" w:space="0" w:color="auto"/>
              <w:bottom w:val="single" w:sz="6" w:space="0" w:color="auto"/>
              <w:right w:val="single" w:sz="6" w:space="0" w:color="auto"/>
            </w:tcBorders>
            <w:tcMar>
              <w:top w:w="30" w:type="dxa"/>
              <w:left w:w="45" w:type="dxa"/>
              <w:bottom w:w="30" w:type="dxa"/>
              <w:right w:w="45" w:type="dxa"/>
            </w:tcMar>
          </w:tcPr>
          <w:p w14:paraId="300C5E92" w14:textId="488BDABD" w:rsidR="009C3C33" w:rsidRPr="007F24B9" w:rsidRDefault="00AF5FAB" w:rsidP="009C3C33">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w:t>
            </w:r>
          </w:p>
        </w:tc>
        <w:tc>
          <w:tcPr>
            <w:tcW w:w="553" w:type="pct"/>
            <w:tcBorders>
              <w:top w:val="single" w:sz="6" w:space="0" w:color="auto"/>
              <w:left w:val="single" w:sz="6" w:space="0" w:color="auto"/>
              <w:right w:val="single" w:sz="12" w:space="0" w:color="auto"/>
            </w:tcBorders>
            <w:tcMar>
              <w:top w:w="30" w:type="dxa"/>
              <w:left w:w="45" w:type="dxa"/>
              <w:bottom w:w="30" w:type="dxa"/>
              <w:right w:w="45" w:type="dxa"/>
            </w:tcMar>
          </w:tcPr>
          <w:p w14:paraId="6594CA79" w14:textId="71BEE1C6" w:rsidR="009C3C33" w:rsidRPr="007F24B9" w:rsidRDefault="00AF5FAB" w:rsidP="009C3C33">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w:t>
            </w:r>
          </w:p>
        </w:tc>
        <w:tc>
          <w:tcPr>
            <w:tcW w:w="477" w:type="pct"/>
            <w:tcBorders>
              <w:top w:val="single" w:sz="6" w:space="0" w:color="auto"/>
              <w:left w:val="single" w:sz="12" w:space="0" w:color="auto"/>
              <w:right w:val="single" w:sz="4" w:space="0" w:color="auto"/>
            </w:tcBorders>
          </w:tcPr>
          <w:p w14:paraId="165A99A8" w14:textId="42E84FA8" w:rsidR="009C3C33" w:rsidRPr="007F24B9" w:rsidRDefault="00192CE5" w:rsidP="009C3C33">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-0.171</w:t>
            </w:r>
          </w:p>
        </w:tc>
        <w:tc>
          <w:tcPr>
            <w:tcW w:w="475" w:type="pct"/>
            <w:tcBorders>
              <w:top w:val="single" w:sz="6" w:space="0" w:color="auto"/>
              <w:left w:val="single" w:sz="4" w:space="0" w:color="auto"/>
              <w:right w:val="single" w:sz="18" w:space="0" w:color="auto"/>
            </w:tcBorders>
          </w:tcPr>
          <w:p w14:paraId="3924C847" w14:textId="6544BB11" w:rsidR="009C3C33" w:rsidRPr="007F24B9" w:rsidRDefault="00192CE5" w:rsidP="009C3C33">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-2.89</w:t>
            </w:r>
          </w:p>
        </w:tc>
      </w:tr>
      <w:tr w:rsidR="009C3C33" w:rsidRPr="007F24B9" w14:paraId="0E858190" w14:textId="77777777" w:rsidTr="00904F28">
        <w:trPr>
          <w:trHeight w:val="144"/>
        </w:trPr>
        <w:tc>
          <w:tcPr>
            <w:tcW w:w="5000" w:type="pct"/>
            <w:gridSpan w:val="7"/>
            <w:tcBorders>
              <w:top w:val="single" w:sz="6" w:space="0" w:color="auto"/>
              <w:left w:val="single" w:sz="18" w:space="0" w:color="auto"/>
              <w:bottom w:val="single" w:sz="6" w:space="0" w:color="auto"/>
              <w:right w:val="single" w:sz="18" w:space="0" w:color="auto"/>
            </w:tcBorders>
            <w:tcMar>
              <w:top w:w="30" w:type="dxa"/>
              <w:left w:w="45" w:type="dxa"/>
              <w:bottom w:w="30" w:type="dxa"/>
              <w:right w:w="45" w:type="dxa"/>
            </w:tcMar>
            <w:vAlign w:val="center"/>
          </w:tcPr>
          <w:p w14:paraId="3FF3FEDF" w14:textId="4AAE867F" w:rsidR="009C3C33" w:rsidRPr="007F24B9" w:rsidRDefault="009C3C33" w:rsidP="009C3C33">
            <w:pPr>
              <w:rPr>
                <w:rFonts w:ascii="Times New Roman" w:eastAsia="Times New Roman" w:hAnsi="Times New Roman"/>
                <w:sz w:val="20"/>
              </w:rPr>
            </w:pPr>
            <w:r w:rsidRPr="007F24B9">
              <w:rPr>
                <w:rFonts w:ascii="Times New Roman" w:eastAsiaTheme="minorEastAsia" w:hAnsi="Times New Roman"/>
                <w:i/>
                <w:iCs/>
                <w:sz w:val="20"/>
                <w:lang w:eastAsia="ko-KR"/>
              </w:rPr>
              <w:t>Employment</w:t>
            </w:r>
            <w:r w:rsidRPr="007F24B9">
              <w:rPr>
                <w:rFonts w:ascii="Times New Roman" w:eastAsiaTheme="minorEastAsia" w:hAnsi="Times New Roman" w:hint="eastAsia"/>
                <w:i/>
                <w:iCs/>
                <w:sz w:val="20"/>
                <w:lang w:eastAsia="ko-KR"/>
              </w:rPr>
              <w:t xml:space="preserve"> status (</w:t>
            </w:r>
            <w:r w:rsidR="00FA0B71" w:rsidRPr="007F24B9">
              <w:rPr>
                <w:rFonts w:ascii="Times New Roman" w:eastAsia="Times New Roman" w:hAnsi="Times New Roman"/>
                <w:i/>
                <w:iCs/>
                <w:sz w:val="20"/>
              </w:rPr>
              <w:t xml:space="preserve">base: </w:t>
            </w:r>
            <w:r w:rsidRPr="007F24B9">
              <w:rPr>
                <w:rFonts w:ascii="Times New Roman" w:eastAsiaTheme="minorEastAsia" w:hAnsi="Times New Roman" w:hint="eastAsia"/>
                <w:i/>
                <w:iCs/>
                <w:sz w:val="20"/>
                <w:lang w:eastAsia="ko-KR"/>
              </w:rPr>
              <w:t>Retired or not employed)</w:t>
            </w:r>
          </w:p>
        </w:tc>
      </w:tr>
      <w:tr w:rsidR="009C3C33" w:rsidRPr="007F24B9" w14:paraId="646865BD" w14:textId="77777777" w:rsidTr="00261282">
        <w:trPr>
          <w:trHeight w:val="144"/>
        </w:trPr>
        <w:tc>
          <w:tcPr>
            <w:tcW w:w="1950" w:type="pct"/>
            <w:tcBorders>
              <w:top w:val="single" w:sz="6" w:space="0" w:color="auto"/>
              <w:left w:val="single" w:sz="18" w:space="0" w:color="auto"/>
              <w:bottom w:val="single" w:sz="6" w:space="0" w:color="auto"/>
              <w:right w:val="single" w:sz="12" w:space="0" w:color="auto"/>
            </w:tcBorders>
            <w:tcMar>
              <w:top w:w="30" w:type="dxa"/>
              <w:left w:w="45" w:type="dxa"/>
              <w:bottom w:w="30" w:type="dxa"/>
              <w:right w:w="45" w:type="dxa"/>
            </w:tcMar>
            <w:vAlign w:val="center"/>
          </w:tcPr>
          <w:p w14:paraId="1BF9B899" w14:textId="0822545D" w:rsidR="009C3C33" w:rsidRPr="007F24B9" w:rsidRDefault="009C3C33" w:rsidP="009C3C33">
            <w:pPr>
              <w:ind w:left="144"/>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Employed</w:t>
            </w:r>
          </w:p>
        </w:tc>
        <w:tc>
          <w:tcPr>
            <w:tcW w:w="552" w:type="pct"/>
            <w:tcBorders>
              <w:top w:val="single" w:sz="6" w:space="0" w:color="auto"/>
              <w:left w:val="single" w:sz="12" w:space="0" w:color="auto"/>
              <w:bottom w:val="single" w:sz="6" w:space="0" w:color="auto"/>
              <w:right w:val="single" w:sz="6" w:space="0" w:color="auto"/>
            </w:tcBorders>
            <w:tcMar>
              <w:top w:w="30" w:type="dxa"/>
              <w:left w:w="45" w:type="dxa"/>
              <w:bottom w:w="30" w:type="dxa"/>
              <w:right w:w="45" w:type="dxa"/>
            </w:tcMar>
          </w:tcPr>
          <w:p w14:paraId="562B862B" w14:textId="18C96F9E" w:rsidR="009C3C33" w:rsidRPr="007F24B9" w:rsidRDefault="00CD115D" w:rsidP="009C3C33">
            <w:pPr>
              <w:jc w:val="right"/>
              <w:rPr>
                <w:rFonts w:ascii="Times New Roman" w:eastAsia="Times New Roman" w:hAnsi="Times New Roman"/>
                <w:sz w:val="20"/>
              </w:rPr>
            </w:pPr>
            <w:r w:rsidRPr="007F24B9">
              <w:rPr>
                <w:rFonts w:ascii="Times New Roman" w:eastAsiaTheme="minorEastAsia" w:hAnsi="Times New Roman" w:hint="eastAsia"/>
                <w:sz w:val="20"/>
                <w:lang w:eastAsia="ko-KR"/>
              </w:rPr>
              <w:t>0.1</w:t>
            </w:r>
            <w:r w:rsidR="0075047A" w:rsidRPr="007F24B9">
              <w:rPr>
                <w:rFonts w:ascii="Times New Roman" w:eastAsiaTheme="minorEastAsia" w:hAnsi="Times New Roman" w:hint="eastAsia"/>
                <w:sz w:val="20"/>
                <w:lang w:eastAsia="ko-KR"/>
              </w:rPr>
              <w:t>2</w:t>
            </w:r>
            <w:r w:rsidR="00AF5FAB" w:rsidRPr="007F24B9">
              <w:rPr>
                <w:rFonts w:ascii="Times New Roman" w:eastAsiaTheme="minorEastAsia" w:hAnsi="Times New Roman" w:hint="eastAsia"/>
                <w:sz w:val="20"/>
                <w:lang w:eastAsia="ko-KR"/>
              </w:rPr>
              <w:t>5</w:t>
            </w:r>
          </w:p>
        </w:tc>
        <w:tc>
          <w:tcPr>
            <w:tcW w:w="441" w:type="pct"/>
            <w:tcBorders>
              <w:top w:val="single" w:sz="6" w:space="0" w:color="auto"/>
              <w:left w:val="single" w:sz="6" w:space="0" w:color="auto"/>
              <w:bottom w:val="single" w:sz="6" w:space="0" w:color="auto"/>
              <w:right w:val="single" w:sz="12" w:space="0" w:color="auto"/>
            </w:tcBorders>
            <w:tcMar>
              <w:top w:w="30" w:type="dxa"/>
              <w:left w:w="45" w:type="dxa"/>
              <w:bottom w:w="30" w:type="dxa"/>
              <w:right w:w="45" w:type="dxa"/>
            </w:tcMar>
          </w:tcPr>
          <w:p w14:paraId="5EC70F7D" w14:textId="02CBBE38" w:rsidR="009C3C33" w:rsidRPr="007F24B9" w:rsidRDefault="00AF5FAB" w:rsidP="009C3C33">
            <w:pPr>
              <w:jc w:val="right"/>
              <w:rPr>
                <w:rFonts w:ascii="Times New Roman" w:eastAsia="Times New Roman" w:hAnsi="Times New Roman"/>
                <w:sz w:val="20"/>
              </w:rPr>
            </w:pPr>
            <w:r w:rsidRPr="007F24B9">
              <w:rPr>
                <w:rFonts w:ascii="Times New Roman" w:eastAsiaTheme="minorEastAsia" w:hAnsi="Times New Roman" w:hint="eastAsia"/>
                <w:sz w:val="20"/>
                <w:lang w:eastAsia="ko-KR"/>
              </w:rPr>
              <w:t>2.67</w:t>
            </w:r>
          </w:p>
        </w:tc>
        <w:tc>
          <w:tcPr>
            <w:tcW w:w="552" w:type="pct"/>
            <w:tcBorders>
              <w:top w:val="single" w:sz="6" w:space="0" w:color="auto"/>
              <w:left w:val="single" w:sz="12" w:space="0" w:color="auto"/>
              <w:bottom w:val="single" w:sz="6" w:space="0" w:color="auto"/>
              <w:right w:val="single" w:sz="6" w:space="0" w:color="auto"/>
            </w:tcBorders>
            <w:tcMar>
              <w:top w:w="30" w:type="dxa"/>
              <w:left w:w="45" w:type="dxa"/>
              <w:bottom w:w="30" w:type="dxa"/>
              <w:right w:w="45" w:type="dxa"/>
            </w:tcMar>
          </w:tcPr>
          <w:p w14:paraId="15AA0F85" w14:textId="2AFB6B5F" w:rsidR="009C3C33" w:rsidRPr="007F24B9" w:rsidRDefault="009C3C33" w:rsidP="009C3C33">
            <w:pPr>
              <w:jc w:val="right"/>
              <w:rPr>
                <w:rFonts w:ascii="Times New Roman" w:eastAsia="Times New Roman" w:hAnsi="Times New Roman"/>
                <w:sz w:val="20"/>
              </w:rPr>
            </w:pPr>
            <w:r w:rsidRPr="007F24B9">
              <w:rPr>
                <w:rFonts w:ascii="Times New Roman" w:eastAsia="Times New Roman" w:hAnsi="Times New Roman"/>
                <w:sz w:val="20"/>
              </w:rPr>
              <w:t>--</w:t>
            </w:r>
          </w:p>
        </w:tc>
        <w:tc>
          <w:tcPr>
            <w:tcW w:w="553" w:type="pct"/>
            <w:tcBorders>
              <w:top w:val="single" w:sz="6" w:space="0" w:color="auto"/>
              <w:left w:val="single" w:sz="6" w:space="0" w:color="auto"/>
              <w:right w:val="single" w:sz="12" w:space="0" w:color="auto"/>
            </w:tcBorders>
            <w:tcMar>
              <w:top w:w="30" w:type="dxa"/>
              <w:left w:w="45" w:type="dxa"/>
              <w:bottom w:w="30" w:type="dxa"/>
              <w:right w:w="45" w:type="dxa"/>
            </w:tcMar>
          </w:tcPr>
          <w:p w14:paraId="38222461" w14:textId="273D21AD" w:rsidR="009C3C33" w:rsidRPr="007F24B9" w:rsidRDefault="009C3C33" w:rsidP="009C3C33">
            <w:pPr>
              <w:jc w:val="right"/>
              <w:rPr>
                <w:rFonts w:ascii="Times New Roman" w:eastAsia="Times New Roman" w:hAnsi="Times New Roman"/>
                <w:sz w:val="20"/>
              </w:rPr>
            </w:pPr>
            <w:r w:rsidRPr="007F24B9">
              <w:rPr>
                <w:rFonts w:ascii="Times New Roman" w:eastAsia="Times New Roman" w:hAnsi="Times New Roman"/>
                <w:sz w:val="20"/>
              </w:rPr>
              <w:t>--</w:t>
            </w:r>
          </w:p>
        </w:tc>
        <w:tc>
          <w:tcPr>
            <w:tcW w:w="477" w:type="pct"/>
            <w:tcBorders>
              <w:top w:val="single" w:sz="6" w:space="0" w:color="auto"/>
              <w:left w:val="single" w:sz="12" w:space="0" w:color="auto"/>
              <w:right w:val="single" w:sz="4" w:space="0" w:color="auto"/>
            </w:tcBorders>
          </w:tcPr>
          <w:p w14:paraId="10DA6685" w14:textId="2464D02F" w:rsidR="009C3C33" w:rsidRPr="007F24B9" w:rsidRDefault="00CD115D" w:rsidP="009C3C33">
            <w:pPr>
              <w:jc w:val="right"/>
              <w:rPr>
                <w:rFonts w:ascii="Times New Roman" w:eastAsia="Times New Roman" w:hAnsi="Times New Roman"/>
                <w:sz w:val="20"/>
              </w:rPr>
            </w:pPr>
            <w:r w:rsidRPr="007F24B9">
              <w:rPr>
                <w:rFonts w:ascii="Times New Roman" w:eastAsiaTheme="minorEastAsia" w:hAnsi="Times New Roman" w:hint="eastAsia"/>
                <w:sz w:val="20"/>
                <w:lang w:eastAsia="ko-KR"/>
              </w:rPr>
              <w:t>-0.1</w:t>
            </w:r>
            <w:r w:rsidR="009C12E5" w:rsidRPr="007F24B9">
              <w:rPr>
                <w:rFonts w:ascii="Times New Roman" w:eastAsiaTheme="minorEastAsia" w:hAnsi="Times New Roman" w:hint="eastAsia"/>
                <w:sz w:val="20"/>
                <w:lang w:eastAsia="ko-KR"/>
              </w:rPr>
              <w:t>5</w:t>
            </w:r>
            <w:r w:rsidR="00192CE5" w:rsidRPr="007F24B9">
              <w:rPr>
                <w:rFonts w:ascii="Times New Roman" w:eastAsiaTheme="minorEastAsia" w:hAnsi="Times New Roman" w:hint="eastAsia"/>
                <w:sz w:val="20"/>
                <w:lang w:eastAsia="ko-KR"/>
              </w:rPr>
              <w:t>0</w:t>
            </w:r>
          </w:p>
        </w:tc>
        <w:tc>
          <w:tcPr>
            <w:tcW w:w="475" w:type="pct"/>
            <w:tcBorders>
              <w:top w:val="single" w:sz="6" w:space="0" w:color="auto"/>
              <w:left w:val="single" w:sz="4" w:space="0" w:color="auto"/>
              <w:right w:val="single" w:sz="18" w:space="0" w:color="auto"/>
            </w:tcBorders>
          </w:tcPr>
          <w:p w14:paraId="259BC885" w14:textId="36467C29" w:rsidR="009C3C33" w:rsidRPr="007F24B9" w:rsidRDefault="00CD115D" w:rsidP="009C3C33">
            <w:pPr>
              <w:jc w:val="right"/>
              <w:rPr>
                <w:rFonts w:ascii="Times New Roman" w:eastAsia="Times New Roman" w:hAnsi="Times New Roman"/>
                <w:sz w:val="20"/>
              </w:rPr>
            </w:pPr>
            <w:r w:rsidRPr="007F24B9">
              <w:rPr>
                <w:rFonts w:ascii="Times New Roman" w:eastAsiaTheme="minorEastAsia" w:hAnsi="Times New Roman" w:hint="eastAsia"/>
                <w:sz w:val="20"/>
                <w:lang w:eastAsia="ko-KR"/>
              </w:rPr>
              <w:t>-</w:t>
            </w:r>
            <w:r w:rsidR="009C12E5" w:rsidRPr="007F24B9">
              <w:rPr>
                <w:rFonts w:ascii="Times New Roman" w:eastAsiaTheme="minorEastAsia" w:hAnsi="Times New Roman" w:hint="eastAsia"/>
                <w:sz w:val="20"/>
                <w:lang w:eastAsia="ko-KR"/>
              </w:rPr>
              <w:t>2.7</w:t>
            </w:r>
            <w:r w:rsidR="00192CE5" w:rsidRPr="007F24B9">
              <w:rPr>
                <w:rFonts w:ascii="Times New Roman" w:eastAsiaTheme="minorEastAsia" w:hAnsi="Times New Roman" w:hint="eastAsia"/>
                <w:sz w:val="20"/>
                <w:lang w:eastAsia="ko-KR"/>
              </w:rPr>
              <w:t>8</w:t>
            </w:r>
          </w:p>
        </w:tc>
      </w:tr>
      <w:tr w:rsidR="009C3C33" w:rsidRPr="007F24B9" w14:paraId="230653D4" w14:textId="77777777" w:rsidTr="00904F28">
        <w:trPr>
          <w:trHeight w:val="144"/>
        </w:trPr>
        <w:tc>
          <w:tcPr>
            <w:tcW w:w="5000" w:type="pct"/>
            <w:gridSpan w:val="7"/>
            <w:tcBorders>
              <w:top w:val="single" w:sz="12" w:space="0" w:color="auto"/>
              <w:left w:val="single" w:sz="18" w:space="0" w:color="auto"/>
              <w:bottom w:val="single" w:sz="4" w:space="0" w:color="595959" w:themeColor="text1" w:themeTint="A6"/>
              <w:right w:val="single" w:sz="18" w:space="0" w:color="auto"/>
            </w:tcBorders>
            <w:tcMar>
              <w:top w:w="30" w:type="dxa"/>
              <w:left w:w="45" w:type="dxa"/>
              <w:bottom w:w="30" w:type="dxa"/>
              <w:right w:w="45" w:type="dxa"/>
            </w:tcMar>
            <w:vAlign w:val="center"/>
          </w:tcPr>
          <w:p w14:paraId="4F6CFBD7" w14:textId="473984C3" w:rsidR="009C3C33" w:rsidRPr="007F24B9" w:rsidRDefault="009C3C33" w:rsidP="009C3C33">
            <w:pPr>
              <w:rPr>
                <w:rFonts w:ascii="Times New Roman" w:eastAsiaTheme="minorEastAsia" w:hAnsi="Times New Roman"/>
                <w:b/>
                <w:bCs/>
                <w:sz w:val="20"/>
                <w:lang w:eastAsia="ko-KR"/>
              </w:rPr>
            </w:pPr>
            <w:r w:rsidRPr="007F24B9">
              <w:rPr>
                <w:rFonts w:ascii="Times New Roman" w:eastAsiaTheme="minorEastAsia" w:hAnsi="Times New Roman"/>
                <w:b/>
                <w:bCs/>
                <w:sz w:val="20"/>
                <w:lang w:eastAsia="ko-KR"/>
              </w:rPr>
              <w:t>Household</w:t>
            </w:r>
            <w:r w:rsidRPr="007F24B9">
              <w:rPr>
                <w:rFonts w:ascii="Times New Roman" w:eastAsiaTheme="minorEastAsia" w:hAnsi="Times New Roman" w:hint="eastAsia"/>
                <w:b/>
                <w:bCs/>
                <w:sz w:val="20"/>
                <w:lang w:eastAsia="ko-KR"/>
              </w:rPr>
              <w:t xml:space="preserve"> Characteristics</w:t>
            </w:r>
          </w:p>
        </w:tc>
      </w:tr>
      <w:tr w:rsidR="009C3C33" w:rsidRPr="007F24B9" w14:paraId="72796329" w14:textId="148A7624" w:rsidTr="00904F28">
        <w:trPr>
          <w:trHeight w:val="144"/>
        </w:trPr>
        <w:tc>
          <w:tcPr>
            <w:tcW w:w="5000" w:type="pct"/>
            <w:gridSpan w:val="7"/>
            <w:tcBorders>
              <w:top w:val="single" w:sz="12" w:space="0" w:color="auto"/>
              <w:left w:val="single" w:sz="18" w:space="0" w:color="auto"/>
              <w:bottom w:val="single" w:sz="4" w:space="0" w:color="595959" w:themeColor="text1" w:themeTint="A6"/>
              <w:right w:val="single" w:sz="18" w:space="0" w:color="auto"/>
            </w:tcBorders>
            <w:tcMar>
              <w:top w:w="30" w:type="dxa"/>
              <w:left w:w="45" w:type="dxa"/>
              <w:bottom w:w="30" w:type="dxa"/>
              <w:right w:w="45" w:type="dxa"/>
            </w:tcMar>
            <w:vAlign w:val="center"/>
            <w:hideMark/>
          </w:tcPr>
          <w:p w14:paraId="1EE2FB94" w14:textId="798BC402" w:rsidR="009C3C33" w:rsidRPr="007F24B9" w:rsidRDefault="009C3C33" w:rsidP="009C3C33">
            <w:pPr>
              <w:rPr>
                <w:rFonts w:ascii="Times New Roman" w:eastAsia="Times New Roman" w:hAnsi="Times New Roman"/>
                <w:i/>
                <w:iCs/>
                <w:sz w:val="20"/>
              </w:rPr>
            </w:pPr>
            <w:r w:rsidRPr="007F24B9">
              <w:rPr>
                <w:rFonts w:ascii="Times New Roman" w:eastAsia="Times New Roman" w:hAnsi="Times New Roman"/>
                <w:i/>
                <w:iCs/>
                <w:sz w:val="20"/>
              </w:rPr>
              <w:t>Household composition (</w:t>
            </w:r>
            <w:r w:rsidR="00FA0B71" w:rsidRPr="007F24B9">
              <w:rPr>
                <w:rFonts w:ascii="Times New Roman" w:eastAsia="Times New Roman" w:hAnsi="Times New Roman"/>
                <w:i/>
                <w:iCs/>
                <w:sz w:val="20"/>
              </w:rPr>
              <w:t xml:space="preserve">base: </w:t>
            </w:r>
            <w:r w:rsidRPr="007F24B9">
              <w:rPr>
                <w:rFonts w:ascii="Times New Roman" w:eastAsiaTheme="minorEastAsia" w:hAnsi="Times New Roman" w:hint="eastAsia"/>
                <w:i/>
                <w:iCs/>
                <w:sz w:val="20"/>
                <w:lang w:eastAsia="ko-KR"/>
              </w:rPr>
              <w:t>T</w:t>
            </w:r>
            <w:r w:rsidR="00CD25AF" w:rsidRPr="007F24B9">
              <w:rPr>
                <w:rFonts w:ascii="Times New Roman" w:eastAsiaTheme="minorEastAsia" w:hAnsi="Times New Roman"/>
                <w:i/>
                <w:iCs/>
                <w:sz w:val="20"/>
                <w:lang w:eastAsia="ko-KR"/>
              </w:rPr>
              <w:t xml:space="preserve">wo </w:t>
            </w:r>
            <w:r w:rsidRPr="007F24B9">
              <w:rPr>
                <w:rFonts w:ascii="Times New Roman" w:eastAsiaTheme="minorEastAsia" w:hAnsi="Times New Roman" w:hint="eastAsia"/>
                <w:i/>
                <w:iCs/>
                <w:sz w:val="20"/>
                <w:lang w:eastAsia="ko-KR"/>
              </w:rPr>
              <w:t>adult</w:t>
            </w:r>
            <w:r w:rsidR="000E2265" w:rsidRPr="007F24B9">
              <w:rPr>
                <w:rFonts w:ascii="Times New Roman" w:eastAsiaTheme="minorEastAsia" w:hAnsi="Times New Roman" w:hint="eastAsia"/>
                <w:i/>
                <w:iCs/>
                <w:sz w:val="20"/>
                <w:lang w:eastAsia="ko-KR"/>
              </w:rPr>
              <w:t>s</w:t>
            </w:r>
            <w:r w:rsidRPr="007F24B9">
              <w:rPr>
                <w:rFonts w:ascii="Times New Roman" w:eastAsia="Times New Roman" w:hAnsi="Times New Roman"/>
                <w:i/>
                <w:iCs/>
                <w:sz w:val="20"/>
              </w:rPr>
              <w:t xml:space="preserve"> without child)</w:t>
            </w:r>
          </w:p>
        </w:tc>
      </w:tr>
      <w:tr w:rsidR="009C3C33" w:rsidRPr="007F24B9" w14:paraId="62360F45" w14:textId="7D3DF9F5" w:rsidTr="00EE4E12">
        <w:trPr>
          <w:trHeight w:val="144"/>
        </w:trPr>
        <w:tc>
          <w:tcPr>
            <w:tcW w:w="1950" w:type="pct"/>
            <w:tcBorders>
              <w:top w:val="single" w:sz="4" w:space="0" w:color="595959" w:themeColor="text1" w:themeTint="A6"/>
              <w:left w:val="single" w:sz="18" w:space="0" w:color="auto"/>
              <w:bottom w:val="dashSmallGap" w:sz="4" w:space="0" w:color="595959" w:themeColor="text1" w:themeTint="A6"/>
              <w:right w:val="single" w:sz="12" w:space="0" w:color="auto"/>
            </w:tcBorders>
            <w:tcMar>
              <w:top w:w="30" w:type="dxa"/>
              <w:left w:w="45" w:type="dxa"/>
              <w:bottom w:w="30" w:type="dxa"/>
              <w:right w:w="45" w:type="dxa"/>
            </w:tcMar>
            <w:vAlign w:val="center"/>
          </w:tcPr>
          <w:p w14:paraId="35DE0445" w14:textId="0C5A55C4" w:rsidR="009C3C33" w:rsidRPr="007F24B9" w:rsidRDefault="00CD25AF" w:rsidP="009C3C33">
            <w:pPr>
              <w:ind w:left="144"/>
              <w:rPr>
                <w:rFonts w:ascii="Times New Roman" w:eastAsiaTheme="minorEastAsia" w:hAnsi="Times New Roman"/>
                <w:sz w:val="20"/>
                <w:lang w:eastAsia="ko-KR"/>
              </w:rPr>
            </w:pPr>
            <w:r w:rsidRPr="007F24B9">
              <w:rPr>
                <w:rFonts w:ascii="Times New Roman" w:eastAsiaTheme="minorEastAsia" w:hAnsi="Times New Roman"/>
                <w:sz w:val="20"/>
                <w:lang w:eastAsia="ko-KR"/>
              </w:rPr>
              <w:t>Single adult</w:t>
            </w:r>
            <w:r w:rsidR="003A1A3B" w:rsidRPr="007F24B9">
              <w:rPr>
                <w:rFonts w:ascii="Times New Roman" w:eastAsiaTheme="minorEastAsia" w:hAnsi="Times New Roman" w:hint="eastAsia"/>
                <w:sz w:val="20"/>
                <w:lang w:eastAsia="ko-KR"/>
              </w:rPr>
              <w:t xml:space="preserve"> without child</w:t>
            </w:r>
          </w:p>
        </w:tc>
        <w:tc>
          <w:tcPr>
            <w:tcW w:w="552" w:type="pct"/>
            <w:tcBorders>
              <w:top w:val="single" w:sz="4" w:space="0" w:color="595959" w:themeColor="text1" w:themeTint="A6"/>
              <w:left w:val="single" w:sz="12" w:space="0" w:color="auto"/>
              <w:bottom w:val="dashSmallGap" w:sz="4" w:space="0" w:color="595959" w:themeColor="text1" w:themeTint="A6"/>
              <w:right w:val="single" w:sz="6" w:space="0" w:color="auto"/>
            </w:tcBorders>
            <w:tcMar>
              <w:top w:w="30" w:type="dxa"/>
              <w:left w:w="45" w:type="dxa"/>
              <w:bottom w:w="30" w:type="dxa"/>
              <w:right w:w="45" w:type="dxa"/>
            </w:tcMar>
          </w:tcPr>
          <w:p w14:paraId="2156A5F5" w14:textId="3098BA5D" w:rsidR="009C3C33" w:rsidRPr="007F24B9" w:rsidRDefault="009C3C33" w:rsidP="009C3C33">
            <w:pPr>
              <w:jc w:val="right"/>
              <w:rPr>
                <w:rFonts w:ascii="Times New Roman" w:eastAsia="Times New Roman" w:hAnsi="Times New Roman"/>
                <w:sz w:val="20"/>
              </w:rPr>
            </w:pPr>
            <w:r w:rsidRPr="007F24B9">
              <w:rPr>
                <w:rFonts w:ascii="Times New Roman" w:eastAsia="Times New Roman" w:hAnsi="Times New Roman"/>
                <w:sz w:val="20"/>
              </w:rPr>
              <w:t>--</w:t>
            </w:r>
          </w:p>
        </w:tc>
        <w:tc>
          <w:tcPr>
            <w:tcW w:w="441" w:type="pct"/>
            <w:tcBorders>
              <w:top w:val="single" w:sz="4" w:space="0" w:color="595959" w:themeColor="text1" w:themeTint="A6"/>
              <w:left w:val="single" w:sz="6" w:space="0" w:color="auto"/>
              <w:bottom w:val="dashSmallGap" w:sz="4" w:space="0" w:color="595959" w:themeColor="text1" w:themeTint="A6"/>
              <w:right w:val="single" w:sz="12" w:space="0" w:color="auto"/>
            </w:tcBorders>
            <w:tcMar>
              <w:top w:w="30" w:type="dxa"/>
              <w:left w:w="45" w:type="dxa"/>
              <w:bottom w:w="30" w:type="dxa"/>
              <w:right w:w="45" w:type="dxa"/>
            </w:tcMar>
          </w:tcPr>
          <w:p w14:paraId="14296825" w14:textId="1B70AC21" w:rsidR="009C3C33" w:rsidRPr="007F24B9" w:rsidRDefault="009C3C33" w:rsidP="009C3C33">
            <w:pPr>
              <w:jc w:val="right"/>
              <w:rPr>
                <w:rFonts w:ascii="Times New Roman" w:eastAsia="Times New Roman" w:hAnsi="Times New Roman"/>
                <w:sz w:val="20"/>
              </w:rPr>
            </w:pPr>
            <w:r w:rsidRPr="007F24B9">
              <w:rPr>
                <w:rFonts w:ascii="Times New Roman" w:eastAsia="Times New Roman" w:hAnsi="Times New Roman"/>
                <w:sz w:val="20"/>
              </w:rPr>
              <w:t>--</w:t>
            </w:r>
          </w:p>
        </w:tc>
        <w:tc>
          <w:tcPr>
            <w:tcW w:w="552" w:type="pct"/>
            <w:tcBorders>
              <w:top w:val="single" w:sz="4" w:space="0" w:color="595959" w:themeColor="text1" w:themeTint="A6"/>
              <w:left w:val="single" w:sz="12" w:space="0" w:color="auto"/>
              <w:bottom w:val="dashSmallGap" w:sz="4" w:space="0" w:color="595959" w:themeColor="text1" w:themeTint="A6"/>
              <w:right w:val="single" w:sz="6" w:space="0" w:color="auto"/>
            </w:tcBorders>
            <w:tcMar>
              <w:top w:w="30" w:type="dxa"/>
              <w:left w:w="45" w:type="dxa"/>
              <w:bottom w:w="30" w:type="dxa"/>
              <w:right w:w="45" w:type="dxa"/>
            </w:tcMar>
          </w:tcPr>
          <w:p w14:paraId="138D1981" w14:textId="74EB5B49" w:rsidR="009C3C33" w:rsidRPr="007F24B9" w:rsidRDefault="00334952" w:rsidP="009C3C33">
            <w:pPr>
              <w:jc w:val="right"/>
              <w:rPr>
                <w:rFonts w:ascii="Times New Roman" w:eastAsia="Times New Roman" w:hAnsi="Times New Roman"/>
                <w:sz w:val="20"/>
              </w:rPr>
            </w:pPr>
            <w:r w:rsidRPr="007F24B9">
              <w:rPr>
                <w:rFonts w:ascii="Times New Roman" w:eastAsia="Times New Roman" w:hAnsi="Times New Roman"/>
                <w:sz w:val="20"/>
              </w:rPr>
              <w:t>--</w:t>
            </w:r>
          </w:p>
        </w:tc>
        <w:tc>
          <w:tcPr>
            <w:tcW w:w="553" w:type="pct"/>
            <w:tcBorders>
              <w:top w:val="single" w:sz="4" w:space="0" w:color="595959" w:themeColor="text1" w:themeTint="A6"/>
              <w:left w:val="single" w:sz="6" w:space="0" w:color="auto"/>
              <w:bottom w:val="dashSmallGap" w:sz="4" w:space="0" w:color="595959" w:themeColor="text1" w:themeTint="A6"/>
              <w:right w:val="single" w:sz="12" w:space="0" w:color="auto"/>
            </w:tcBorders>
            <w:tcMar>
              <w:top w:w="30" w:type="dxa"/>
              <w:left w:w="45" w:type="dxa"/>
              <w:bottom w:w="30" w:type="dxa"/>
              <w:right w:w="45" w:type="dxa"/>
            </w:tcMar>
          </w:tcPr>
          <w:p w14:paraId="271816F9" w14:textId="73ED13F4" w:rsidR="009C3C33" w:rsidRPr="007F24B9" w:rsidRDefault="00334952" w:rsidP="009C3C33">
            <w:pPr>
              <w:jc w:val="right"/>
              <w:rPr>
                <w:rFonts w:ascii="Times New Roman" w:eastAsia="Times New Roman" w:hAnsi="Times New Roman"/>
                <w:sz w:val="20"/>
              </w:rPr>
            </w:pPr>
            <w:r w:rsidRPr="007F24B9">
              <w:rPr>
                <w:rFonts w:ascii="Times New Roman" w:eastAsia="Times New Roman" w:hAnsi="Times New Roman"/>
                <w:sz w:val="20"/>
              </w:rPr>
              <w:t>--</w:t>
            </w:r>
          </w:p>
        </w:tc>
        <w:tc>
          <w:tcPr>
            <w:tcW w:w="477" w:type="pct"/>
            <w:tcBorders>
              <w:top w:val="single" w:sz="4" w:space="0" w:color="595959" w:themeColor="text1" w:themeTint="A6"/>
              <w:left w:val="single" w:sz="12" w:space="0" w:color="auto"/>
              <w:bottom w:val="dashSmallGap" w:sz="4" w:space="0" w:color="595959" w:themeColor="text1" w:themeTint="A6"/>
              <w:right w:val="single" w:sz="4" w:space="0" w:color="auto"/>
            </w:tcBorders>
          </w:tcPr>
          <w:p w14:paraId="3849E5DE" w14:textId="681866F3" w:rsidR="009C3C33" w:rsidRPr="007F24B9" w:rsidRDefault="001E4693" w:rsidP="009C3C33">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-0.</w:t>
            </w:r>
            <w:r w:rsidR="009C12E5" w:rsidRPr="007F24B9">
              <w:rPr>
                <w:rFonts w:ascii="Times New Roman" w:eastAsiaTheme="minorEastAsia" w:hAnsi="Times New Roman" w:hint="eastAsia"/>
                <w:sz w:val="20"/>
                <w:lang w:eastAsia="ko-KR"/>
              </w:rPr>
              <w:t>2</w:t>
            </w:r>
            <w:r w:rsidR="00192CE5" w:rsidRPr="007F24B9">
              <w:rPr>
                <w:rFonts w:ascii="Times New Roman" w:eastAsiaTheme="minorEastAsia" w:hAnsi="Times New Roman" w:hint="eastAsia"/>
                <w:sz w:val="20"/>
                <w:lang w:eastAsia="ko-KR"/>
              </w:rPr>
              <w:t>83</w:t>
            </w:r>
          </w:p>
        </w:tc>
        <w:tc>
          <w:tcPr>
            <w:tcW w:w="475" w:type="pct"/>
            <w:tcBorders>
              <w:top w:val="single" w:sz="4" w:space="0" w:color="595959" w:themeColor="text1" w:themeTint="A6"/>
              <w:left w:val="single" w:sz="4" w:space="0" w:color="auto"/>
              <w:bottom w:val="dashSmallGap" w:sz="4" w:space="0" w:color="595959" w:themeColor="text1" w:themeTint="A6"/>
              <w:right w:val="single" w:sz="18" w:space="0" w:color="auto"/>
            </w:tcBorders>
          </w:tcPr>
          <w:p w14:paraId="4DAB185A" w14:textId="0B326F7E" w:rsidR="009C3C33" w:rsidRPr="007F24B9" w:rsidRDefault="001E4693" w:rsidP="009C3C33">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w:t>
            </w:r>
            <w:r w:rsidR="009C12E5" w:rsidRPr="007F24B9">
              <w:rPr>
                <w:rFonts w:ascii="Times New Roman" w:eastAsiaTheme="minorEastAsia" w:hAnsi="Times New Roman" w:hint="eastAsia"/>
                <w:sz w:val="20"/>
                <w:lang w:eastAsia="ko-KR"/>
              </w:rPr>
              <w:t>4</w:t>
            </w:r>
            <w:r w:rsidRPr="007F24B9">
              <w:rPr>
                <w:rFonts w:ascii="Times New Roman" w:eastAsiaTheme="minorEastAsia" w:hAnsi="Times New Roman" w:hint="eastAsia"/>
                <w:sz w:val="20"/>
                <w:lang w:eastAsia="ko-KR"/>
              </w:rPr>
              <w:t>.</w:t>
            </w:r>
            <w:r w:rsidR="00192CE5" w:rsidRPr="007F24B9">
              <w:rPr>
                <w:rFonts w:ascii="Times New Roman" w:eastAsiaTheme="minorEastAsia" w:hAnsi="Times New Roman" w:hint="eastAsia"/>
                <w:sz w:val="20"/>
                <w:lang w:eastAsia="ko-KR"/>
              </w:rPr>
              <w:t>8</w:t>
            </w:r>
            <w:r w:rsidR="009C12E5" w:rsidRPr="007F24B9">
              <w:rPr>
                <w:rFonts w:ascii="Times New Roman" w:eastAsiaTheme="minorEastAsia" w:hAnsi="Times New Roman" w:hint="eastAsia"/>
                <w:sz w:val="20"/>
                <w:lang w:eastAsia="ko-KR"/>
              </w:rPr>
              <w:t>9</w:t>
            </w:r>
          </w:p>
        </w:tc>
      </w:tr>
      <w:tr w:rsidR="004D0DE0" w:rsidRPr="007F24B9" w14:paraId="17E829A8" w14:textId="77777777" w:rsidTr="00EE4E12">
        <w:trPr>
          <w:trHeight w:val="144"/>
        </w:trPr>
        <w:tc>
          <w:tcPr>
            <w:tcW w:w="1950" w:type="pct"/>
            <w:tcBorders>
              <w:top w:val="single" w:sz="4" w:space="0" w:color="595959" w:themeColor="text1" w:themeTint="A6"/>
              <w:left w:val="single" w:sz="18" w:space="0" w:color="auto"/>
              <w:bottom w:val="dashSmallGap" w:sz="4" w:space="0" w:color="595959" w:themeColor="text1" w:themeTint="A6"/>
              <w:right w:val="single" w:sz="12" w:space="0" w:color="auto"/>
            </w:tcBorders>
            <w:tcMar>
              <w:top w:w="30" w:type="dxa"/>
              <w:left w:w="45" w:type="dxa"/>
              <w:bottom w:w="30" w:type="dxa"/>
              <w:right w:w="45" w:type="dxa"/>
            </w:tcMar>
            <w:vAlign w:val="center"/>
          </w:tcPr>
          <w:p w14:paraId="6AF77FCA" w14:textId="38AFE9D2" w:rsidR="004D0DE0" w:rsidRPr="007F24B9" w:rsidRDefault="004D0DE0" w:rsidP="009C3C33">
            <w:pPr>
              <w:ind w:left="144"/>
              <w:rPr>
                <w:rFonts w:ascii="Times New Roman" w:eastAsiaTheme="minorEastAsia" w:hAnsi="Times New Roman"/>
                <w:sz w:val="20"/>
                <w:lang w:eastAsia="ko-KR"/>
              </w:rPr>
            </w:pPr>
            <w:r w:rsidRPr="007F24B9">
              <w:rPr>
                <w:rFonts w:ascii="Times New Roman" w:eastAsiaTheme="minorEastAsia" w:hAnsi="Times New Roman"/>
                <w:sz w:val="20"/>
                <w:lang w:eastAsia="ko-KR"/>
              </w:rPr>
              <w:t>Three or more adult without child</w:t>
            </w:r>
          </w:p>
        </w:tc>
        <w:tc>
          <w:tcPr>
            <w:tcW w:w="552" w:type="pct"/>
            <w:tcBorders>
              <w:top w:val="single" w:sz="4" w:space="0" w:color="595959" w:themeColor="text1" w:themeTint="A6"/>
              <w:left w:val="single" w:sz="12" w:space="0" w:color="auto"/>
              <w:bottom w:val="dashSmallGap" w:sz="4" w:space="0" w:color="595959" w:themeColor="text1" w:themeTint="A6"/>
              <w:right w:val="single" w:sz="6" w:space="0" w:color="auto"/>
            </w:tcBorders>
            <w:tcMar>
              <w:top w:w="30" w:type="dxa"/>
              <w:left w:w="45" w:type="dxa"/>
              <w:bottom w:w="30" w:type="dxa"/>
              <w:right w:w="45" w:type="dxa"/>
            </w:tcMar>
          </w:tcPr>
          <w:p w14:paraId="33EE4D50" w14:textId="232E5A5C" w:rsidR="004D0DE0" w:rsidRPr="007F24B9" w:rsidRDefault="004D0DE0" w:rsidP="009C3C33">
            <w:pPr>
              <w:jc w:val="right"/>
              <w:rPr>
                <w:rFonts w:ascii="Times New Roman" w:eastAsia="Times New Roman" w:hAnsi="Times New Roman"/>
                <w:sz w:val="20"/>
              </w:rPr>
            </w:pPr>
            <w:r w:rsidRPr="007F24B9">
              <w:rPr>
                <w:rFonts w:ascii="Times New Roman" w:eastAsia="Times New Roman" w:hAnsi="Times New Roman"/>
                <w:sz w:val="20"/>
              </w:rPr>
              <w:t>--</w:t>
            </w:r>
          </w:p>
        </w:tc>
        <w:tc>
          <w:tcPr>
            <w:tcW w:w="441" w:type="pct"/>
            <w:tcBorders>
              <w:top w:val="single" w:sz="4" w:space="0" w:color="595959" w:themeColor="text1" w:themeTint="A6"/>
              <w:left w:val="single" w:sz="6" w:space="0" w:color="auto"/>
              <w:bottom w:val="dashSmallGap" w:sz="4" w:space="0" w:color="595959" w:themeColor="text1" w:themeTint="A6"/>
              <w:right w:val="single" w:sz="12" w:space="0" w:color="auto"/>
            </w:tcBorders>
            <w:tcMar>
              <w:top w:w="30" w:type="dxa"/>
              <w:left w:w="45" w:type="dxa"/>
              <w:bottom w:w="30" w:type="dxa"/>
              <w:right w:w="45" w:type="dxa"/>
            </w:tcMar>
          </w:tcPr>
          <w:p w14:paraId="5818C350" w14:textId="59033616" w:rsidR="004D0DE0" w:rsidRPr="007F24B9" w:rsidRDefault="004D0DE0" w:rsidP="009C3C33">
            <w:pPr>
              <w:jc w:val="right"/>
              <w:rPr>
                <w:rFonts w:ascii="Times New Roman" w:eastAsia="Times New Roman" w:hAnsi="Times New Roman"/>
                <w:sz w:val="20"/>
              </w:rPr>
            </w:pPr>
            <w:r w:rsidRPr="007F24B9">
              <w:rPr>
                <w:rFonts w:ascii="Times New Roman" w:eastAsia="Times New Roman" w:hAnsi="Times New Roman"/>
                <w:sz w:val="20"/>
              </w:rPr>
              <w:t>--</w:t>
            </w:r>
          </w:p>
        </w:tc>
        <w:tc>
          <w:tcPr>
            <w:tcW w:w="552" w:type="pct"/>
            <w:tcBorders>
              <w:top w:val="single" w:sz="4" w:space="0" w:color="595959" w:themeColor="text1" w:themeTint="A6"/>
              <w:left w:val="single" w:sz="12" w:space="0" w:color="auto"/>
              <w:bottom w:val="dashSmallGap" w:sz="4" w:space="0" w:color="595959" w:themeColor="text1" w:themeTint="A6"/>
              <w:right w:val="single" w:sz="6" w:space="0" w:color="auto"/>
            </w:tcBorders>
            <w:tcMar>
              <w:top w:w="30" w:type="dxa"/>
              <w:left w:w="45" w:type="dxa"/>
              <w:bottom w:w="30" w:type="dxa"/>
              <w:right w:w="45" w:type="dxa"/>
            </w:tcMar>
          </w:tcPr>
          <w:p w14:paraId="4909B851" w14:textId="28EBE7E0" w:rsidR="004D0DE0" w:rsidRPr="007F24B9" w:rsidRDefault="001E4693" w:rsidP="009C3C33">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w:t>
            </w:r>
            <w:r w:rsidR="00192CE5" w:rsidRPr="007F24B9">
              <w:rPr>
                <w:rFonts w:ascii="Times New Roman" w:eastAsiaTheme="minorEastAsia" w:hAnsi="Times New Roman" w:hint="eastAsia"/>
                <w:sz w:val="20"/>
                <w:lang w:eastAsia="ko-KR"/>
              </w:rPr>
              <w:t>0.119</w:t>
            </w:r>
          </w:p>
        </w:tc>
        <w:tc>
          <w:tcPr>
            <w:tcW w:w="553" w:type="pct"/>
            <w:tcBorders>
              <w:top w:val="single" w:sz="4" w:space="0" w:color="595959" w:themeColor="text1" w:themeTint="A6"/>
              <w:left w:val="single" w:sz="6" w:space="0" w:color="auto"/>
              <w:bottom w:val="dashSmallGap" w:sz="4" w:space="0" w:color="595959" w:themeColor="text1" w:themeTint="A6"/>
              <w:right w:val="single" w:sz="12" w:space="0" w:color="auto"/>
            </w:tcBorders>
            <w:tcMar>
              <w:top w:w="30" w:type="dxa"/>
              <w:left w:w="45" w:type="dxa"/>
              <w:bottom w:w="30" w:type="dxa"/>
              <w:right w:w="45" w:type="dxa"/>
            </w:tcMar>
          </w:tcPr>
          <w:p w14:paraId="14F0D69E" w14:textId="01E515AD" w:rsidR="004D0DE0" w:rsidRPr="007F24B9" w:rsidRDefault="001E4693" w:rsidP="009C3C33">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w:t>
            </w:r>
            <w:r w:rsidR="00192CE5" w:rsidRPr="007F24B9">
              <w:rPr>
                <w:rFonts w:ascii="Times New Roman" w:eastAsiaTheme="minorEastAsia" w:hAnsi="Times New Roman" w:hint="eastAsia"/>
                <w:sz w:val="20"/>
                <w:lang w:eastAsia="ko-KR"/>
              </w:rPr>
              <w:t>1.89</w:t>
            </w:r>
          </w:p>
        </w:tc>
        <w:tc>
          <w:tcPr>
            <w:tcW w:w="477" w:type="pct"/>
            <w:tcBorders>
              <w:top w:val="single" w:sz="4" w:space="0" w:color="595959" w:themeColor="text1" w:themeTint="A6"/>
              <w:left w:val="single" w:sz="12" w:space="0" w:color="auto"/>
              <w:bottom w:val="dashSmallGap" w:sz="4" w:space="0" w:color="595959" w:themeColor="text1" w:themeTint="A6"/>
              <w:right w:val="single" w:sz="4" w:space="0" w:color="auto"/>
            </w:tcBorders>
          </w:tcPr>
          <w:p w14:paraId="7666210B" w14:textId="1BA4816B" w:rsidR="004D0DE0" w:rsidRPr="007F24B9" w:rsidRDefault="00980D67" w:rsidP="009C3C33">
            <w:pPr>
              <w:jc w:val="right"/>
              <w:rPr>
                <w:rFonts w:ascii="Times New Roman" w:eastAsia="Times New Roman" w:hAnsi="Times New Roman"/>
                <w:sz w:val="20"/>
              </w:rPr>
            </w:pPr>
            <w:r w:rsidRPr="007F24B9">
              <w:rPr>
                <w:rFonts w:ascii="Times New Roman" w:eastAsia="Times New Roman" w:hAnsi="Times New Roman"/>
                <w:sz w:val="20"/>
              </w:rPr>
              <w:t>--</w:t>
            </w:r>
          </w:p>
        </w:tc>
        <w:tc>
          <w:tcPr>
            <w:tcW w:w="475" w:type="pct"/>
            <w:tcBorders>
              <w:top w:val="single" w:sz="4" w:space="0" w:color="595959" w:themeColor="text1" w:themeTint="A6"/>
              <w:left w:val="single" w:sz="4" w:space="0" w:color="auto"/>
              <w:bottom w:val="dashSmallGap" w:sz="4" w:space="0" w:color="595959" w:themeColor="text1" w:themeTint="A6"/>
              <w:right w:val="single" w:sz="18" w:space="0" w:color="auto"/>
            </w:tcBorders>
          </w:tcPr>
          <w:p w14:paraId="470EA54C" w14:textId="2AEDFC98" w:rsidR="004D0DE0" w:rsidRPr="007F24B9" w:rsidRDefault="00980D67" w:rsidP="009C3C33">
            <w:pPr>
              <w:jc w:val="right"/>
              <w:rPr>
                <w:rFonts w:ascii="Times New Roman" w:eastAsia="Times New Roman" w:hAnsi="Times New Roman"/>
                <w:sz w:val="20"/>
              </w:rPr>
            </w:pPr>
            <w:r w:rsidRPr="007F24B9">
              <w:rPr>
                <w:rFonts w:ascii="Times New Roman" w:eastAsia="Times New Roman" w:hAnsi="Times New Roman"/>
                <w:sz w:val="20"/>
              </w:rPr>
              <w:t>--</w:t>
            </w:r>
          </w:p>
        </w:tc>
      </w:tr>
      <w:tr w:rsidR="00094816" w:rsidRPr="007F24B9" w14:paraId="58810A9E" w14:textId="77777777" w:rsidTr="00EE4E12">
        <w:trPr>
          <w:trHeight w:val="144"/>
        </w:trPr>
        <w:tc>
          <w:tcPr>
            <w:tcW w:w="1950" w:type="pct"/>
            <w:tcBorders>
              <w:top w:val="single" w:sz="4" w:space="0" w:color="595959" w:themeColor="text1" w:themeTint="A6"/>
              <w:left w:val="single" w:sz="18" w:space="0" w:color="auto"/>
              <w:bottom w:val="dashSmallGap" w:sz="4" w:space="0" w:color="595959" w:themeColor="text1" w:themeTint="A6"/>
              <w:right w:val="single" w:sz="12" w:space="0" w:color="auto"/>
            </w:tcBorders>
            <w:tcMar>
              <w:top w:w="30" w:type="dxa"/>
              <w:left w:w="45" w:type="dxa"/>
              <w:bottom w:w="30" w:type="dxa"/>
              <w:right w:w="45" w:type="dxa"/>
            </w:tcMar>
            <w:vAlign w:val="center"/>
          </w:tcPr>
          <w:p w14:paraId="5795B67F" w14:textId="054E9C50" w:rsidR="00094816" w:rsidRPr="007F24B9" w:rsidRDefault="00094816" w:rsidP="00980D67">
            <w:pPr>
              <w:ind w:left="144"/>
              <w:rPr>
                <w:rFonts w:ascii="Times New Roman" w:eastAsiaTheme="minorEastAsia" w:hAnsi="Times New Roman"/>
                <w:sz w:val="20"/>
                <w:lang w:eastAsia="ko-KR"/>
              </w:rPr>
            </w:pPr>
            <w:r w:rsidRPr="007F24B9">
              <w:rPr>
                <w:rFonts w:ascii="Times New Roman" w:eastAsiaTheme="minorEastAsia" w:hAnsi="Times New Roman"/>
                <w:sz w:val="20"/>
                <w:lang w:eastAsia="ko-KR"/>
              </w:rPr>
              <w:t>Single adult with child</w:t>
            </w:r>
          </w:p>
        </w:tc>
        <w:tc>
          <w:tcPr>
            <w:tcW w:w="552" w:type="pct"/>
            <w:vMerge w:val="restart"/>
            <w:tcBorders>
              <w:top w:val="single" w:sz="4" w:space="0" w:color="595959" w:themeColor="text1" w:themeTint="A6"/>
              <w:left w:val="single" w:sz="12" w:space="0" w:color="auto"/>
              <w:right w:val="single" w:sz="6" w:space="0" w:color="auto"/>
            </w:tcBorders>
            <w:tcMar>
              <w:top w:w="30" w:type="dxa"/>
              <w:left w:w="45" w:type="dxa"/>
              <w:bottom w:w="30" w:type="dxa"/>
              <w:right w:w="45" w:type="dxa"/>
            </w:tcMar>
            <w:vAlign w:val="center"/>
          </w:tcPr>
          <w:p w14:paraId="2587017A" w14:textId="63501734" w:rsidR="00094816" w:rsidRPr="007F24B9" w:rsidRDefault="001E4693" w:rsidP="00980D67">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-0.</w:t>
            </w:r>
            <w:r w:rsidR="00F529B6" w:rsidRPr="007F24B9">
              <w:rPr>
                <w:rFonts w:ascii="Times New Roman" w:eastAsiaTheme="minorEastAsia" w:hAnsi="Times New Roman" w:hint="eastAsia"/>
                <w:sz w:val="20"/>
                <w:lang w:eastAsia="ko-KR"/>
              </w:rPr>
              <w:t>204</w:t>
            </w:r>
          </w:p>
        </w:tc>
        <w:tc>
          <w:tcPr>
            <w:tcW w:w="441" w:type="pct"/>
            <w:vMerge w:val="restart"/>
            <w:tcBorders>
              <w:top w:val="single" w:sz="4" w:space="0" w:color="595959" w:themeColor="text1" w:themeTint="A6"/>
              <w:left w:val="single" w:sz="6" w:space="0" w:color="auto"/>
              <w:right w:val="single" w:sz="12" w:space="0" w:color="auto"/>
            </w:tcBorders>
            <w:tcMar>
              <w:top w:w="30" w:type="dxa"/>
              <w:left w:w="45" w:type="dxa"/>
              <w:bottom w:w="30" w:type="dxa"/>
              <w:right w:w="45" w:type="dxa"/>
            </w:tcMar>
            <w:vAlign w:val="center"/>
          </w:tcPr>
          <w:p w14:paraId="475068E8" w14:textId="4C7D33D6" w:rsidR="00094816" w:rsidRPr="007F24B9" w:rsidRDefault="001E4693" w:rsidP="00980D67">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-3.</w:t>
            </w:r>
            <w:r w:rsidR="00AF5FAB" w:rsidRPr="007F24B9">
              <w:rPr>
                <w:rFonts w:ascii="Times New Roman" w:eastAsiaTheme="minorEastAsia" w:hAnsi="Times New Roman" w:hint="eastAsia"/>
                <w:sz w:val="20"/>
                <w:lang w:eastAsia="ko-KR"/>
              </w:rPr>
              <w:t>30</w:t>
            </w:r>
          </w:p>
        </w:tc>
        <w:tc>
          <w:tcPr>
            <w:tcW w:w="552" w:type="pct"/>
            <w:tcBorders>
              <w:top w:val="single" w:sz="4" w:space="0" w:color="595959" w:themeColor="text1" w:themeTint="A6"/>
              <w:left w:val="single" w:sz="12" w:space="0" w:color="auto"/>
              <w:bottom w:val="dashSmallGap" w:sz="4" w:space="0" w:color="595959" w:themeColor="text1" w:themeTint="A6"/>
              <w:right w:val="single" w:sz="6" w:space="0" w:color="auto"/>
            </w:tcBorders>
            <w:tcMar>
              <w:top w:w="30" w:type="dxa"/>
              <w:left w:w="45" w:type="dxa"/>
              <w:bottom w:w="30" w:type="dxa"/>
              <w:right w:w="45" w:type="dxa"/>
            </w:tcMar>
          </w:tcPr>
          <w:p w14:paraId="72D55FF9" w14:textId="48C72BDB" w:rsidR="00094816" w:rsidRPr="007F24B9" w:rsidRDefault="00094816" w:rsidP="00980D67">
            <w:pPr>
              <w:jc w:val="right"/>
              <w:rPr>
                <w:rFonts w:ascii="Times New Roman" w:eastAsia="Times New Roman" w:hAnsi="Times New Roman"/>
                <w:sz w:val="20"/>
              </w:rPr>
            </w:pPr>
            <w:r w:rsidRPr="007F24B9">
              <w:rPr>
                <w:rFonts w:ascii="Times New Roman" w:eastAsia="Times New Roman" w:hAnsi="Times New Roman"/>
                <w:sz w:val="20"/>
              </w:rPr>
              <w:t>--</w:t>
            </w:r>
          </w:p>
        </w:tc>
        <w:tc>
          <w:tcPr>
            <w:tcW w:w="553" w:type="pct"/>
            <w:tcBorders>
              <w:top w:val="single" w:sz="4" w:space="0" w:color="595959" w:themeColor="text1" w:themeTint="A6"/>
              <w:left w:val="single" w:sz="6" w:space="0" w:color="auto"/>
              <w:bottom w:val="dashSmallGap" w:sz="4" w:space="0" w:color="595959" w:themeColor="text1" w:themeTint="A6"/>
              <w:right w:val="single" w:sz="12" w:space="0" w:color="auto"/>
            </w:tcBorders>
            <w:tcMar>
              <w:top w:w="30" w:type="dxa"/>
              <w:left w:w="45" w:type="dxa"/>
              <w:bottom w:w="30" w:type="dxa"/>
              <w:right w:w="45" w:type="dxa"/>
            </w:tcMar>
          </w:tcPr>
          <w:p w14:paraId="7ECFCF89" w14:textId="3264CD60" w:rsidR="00094816" w:rsidRPr="007F24B9" w:rsidRDefault="00094816" w:rsidP="00980D67">
            <w:pPr>
              <w:jc w:val="right"/>
              <w:rPr>
                <w:rFonts w:ascii="Times New Roman" w:eastAsia="Times New Roman" w:hAnsi="Times New Roman"/>
                <w:sz w:val="20"/>
              </w:rPr>
            </w:pPr>
            <w:r w:rsidRPr="007F24B9">
              <w:rPr>
                <w:rFonts w:ascii="Times New Roman" w:eastAsia="Times New Roman" w:hAnsi="Times New Roman"/>
                <w:sz w:val="20"/>
              </w:rPr>
              <w:t>--</w:t>
            </w:r>
          </w:p>
        </w:tc>
        <w:tc>
          <w:tcPr>
            <w:tcW w:w="477" w:type="pct"/>
            <w:vMerge w:val="restart"/>
            <w:tcBorders>
              <w:top w:val="single" w:sz="4" w:space="0" w:color="595959" w:themeColor="text1" w:themeTint="A6"/>
              <w:left w:val="single" w:sz="12" w:space="0" w:color="auto"/>
              <w:right w:val="single" w:sz="4" w:space="0" w:color="auto"/>
            </w:tcBorders>
            <w:vAlign w:val="center"/>
          </w:tcPr>
          <w:p w14:paraId="0559B32F" w14:textId="17AAD1A4" w:rsidR="00094816" w:rsidRPr="007F24B9" w:rsidRDefault="00D85134" w:rsidP="00094816">
            <w:pPr>
              <w:jc w:val="right"/>
              <w:rPr>
                <w:rFonts w:ascii="Times New Roman" w:eastAsiaTheme="minorEastAsia" w:hAnsi="Times New Roman"/>
                <w:sz w:val="20"/>
                <w:lang w:eastAsia="ko-KR"/>
              </w:rPr>
            </w:pPr>
            <w:r w:rsidRPr="007F24B9">
              <w:rPr>
                <w:rFonts w:ascii="Times New Roman" w:eastAsiaTheme="minorEastAsia" w:hAnsi="Times New Roman"/>
                <w:sz w:val="20"/>
                <w:lang w:eastAsia="ko-KR"/>
              </w:rPr>
              <w:t>0.2</w:t>
            </w:r>
            <w:r w:rsidR="009C12E5" w:rsidRPr="007F24B9">
              <w:rPr>
                <w:rFonts w:ascii="Times New Roman" w:eastAsiaTheme="minorEastAsia" w:hAnsi="Times New Roman" w:hint="eastAsia"/>
                <w:sz w:val="20"/>
                <w:lang w:eastAsia="ko-KR"/>
              </w:rPr>
              <w:t>57</w:t>
            </w:r>
          </w:p>
        </w:tc>
        <w:tc>
          <w:tcPr>
            <w:tcW w:w="475" w:type="pct"/>
            <w:vMerge w:val="restart"/>
            <w:tcBorders>
              <w:top w:val="single" w:sz="4" w:space="0" w:color="595959" w:themeColor="text1" w:themeTint="A6"/>
              <w:left w:val="single" w:sz="4" w:space="0" w:color="auto"/>
              <w:right w:val="single" w:sz="18" w:space="0" w:color="auto"/>
            </w:tcBorders>
            <w:vAlign w:val="center"/>
          </w:tcPr>
          <w:p w14:paraId="5D3BC1A7" w14:textId="7A3A761A" w:rsidR="00094816" w:rsidRPr="007F24B9" w:rsidRDefault="00D85134" w:rsidP="00094816">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3.</w:t>
            </w:r>
            <w:r w:rsidR="009C12E5" w:rsidRPr="007F24B9">
              <w:rPr>
                <w:rFonts w:ascii="Times New Roman" w:eastAsiaTheme="minorEastAsia" w:hAnsi="Times New Roman" w:hint="eastAsia"/>
                <w:sz w:val="20"/>
                <w:lang w:eastAsia="ko-KR"/>
              </w:rPr>
              <w:t>3</w:t>
            </w:r>
            <w:r w:rsidR="00192CE5" w:rsidRPr="007F24B9">
              <w:rPr>
                <w:rFonts w:ascii="Times New Roman" w:eastAsiaTheme="minorEastAsia" w:hAnsi="Times New Roman" w:hint="eastAsia"/>
                <w:sz w:val="20"/>
                <w:lang w:eastAsia="ko-KR"/>
              </w:rPr>
              <w:t>9</w:t>
            </w:r>
          </w:p>
        </w:tc>
      </w:tr>
      <w:tr w:rsidR="00094816" w:rsidRPr="007F24B9" w14:paraId="42B9889D" w14:textId="77777777" w:rsidTr="00EE4E12">
        <w:trPr>
          <w:trHeight w:val="144"/>
        </w:trPr>
        <w:tc>
          <w:tcPr>
            <w:tcW w:w="1950" w:type="pct"/>
            <w:tcBorders>
              <w:top w:val="single" w:sz="4" w:space="0" w:color="595959" w:themeColor="text1" w:themeTint="A6"/>
              <w:left w:val="single" w:sz="18" w:space="0" w:color="auto"/>
              <w:bottom w:val="dashSmallGap" w:sz="4" w:space="0" w:color="595959" w:themeColor="text1" w:themeTint="A6"/>
              <w:right w:val="single" w:sz="12" w:space="0" w:color="auto"/>
            </w:tcBorders>
            <w:tcMar>
              <w:top w:w="30" w:type="dxa"/>
              <w:left w:w="45" w:type="dxa"/>
              <w:bottom w:w="30" w:type="dxa"/>
              <w:right w:w="45" w:type="dxa"/>
            </w:tcMar>
            <w:vAlign w:val="center"/>
          </w:tcPr>
          <w:p w14:paraId="0BC89FB5" w14:textId="03E02440" w:rsidR="00094816" w:rsidRPr="007F24B9" w:rsidRDefault="00094816" w:rsidP="00980D67">
            <w:pPr>
              <w:ind w:left="144"/>
              <w:rPr>
                <w:rFonts w:ascii="Times New Roman" w:eastAsiaTheme="minorEastAsia" w:hAnsi="Times New Roman"/>
                <w:sz w:val="20"/>
                <w:lang w:eastAsia="ko-KR"/>
              </w:rPr>
            </w:pPr>
            <w:r w:rsidRPr="007F24B9">
              <w:rPr>
                <w:rFonts w:ascii="Times New Roman" w:eastAsiaTheme="minorEastAsia" w:hAnsi="Times New Roman"/>
                <w:sz w:val="20"/>
                <w:lang w:eastAsia="ko-KR"/>
              </w:rPr>
              <w:t>Two adult</w:t>
            </w:r>
            <w:r w:rsidRPr="007F24B9">
              <w:rPr>
                <w:rFonts w:ascii="Times New Roman" w:eastAsiaTheme="minorEastAsia" w:hAnsi="Times New Roman" w:hint="eastAsia"/>
                <w:sz w:val="20"/>
                <w:lang w:eastAsia="ko-KR"/>
              </w:rPr>
              <w:t>s</w:t>
            </w:r>
            <w:r w:rsidRPr="007F24B9">
              <w:rPr>
                <w:rFonts w:ascii="Times New Roman" w:eastAsiaTheme="minorEastAsia" w:hAnsi="Times New Roman"/>
                <w:sz w:val="20"/>
                <w:lang w:eastAsia="ko-KR"/>
              </w:rPr>
              <w:t xml:space="preserve"> with child</w:t>
            </w:r>
          </w:p>
        </w:tc>
        <w:tc>
          <w:tcPr>
            <w:tcW w:w="552" w:type="pct"/>
            <w:vMerge/>
            <w:tcBorders>
              <w:left w:val="single" w:sz="12" w:space="0" w:color="auto"/>
              <w:right w:val="single" w:sz="6" w:space="0" w:color="auto"/>
            </w:tcBorders>
            <w:tcMar>
              <w:top w:w="30" w:type="dxa"/>
              <w:left w:w="45" w:type="dxa"/>
              <w:bottom w:w="30" w:type="dxa"/>
              <w:right w:w="45" w:type="dxa"/>
            </w:tcMar>
          </w:tcPr>
          <w:p w14:paraId="2AA3A7FD" w14:textId="77777777" w:rsidR="00094816" w:rsidRPr="007F24B9" w:rsidRDefault="00094816" w:rsidP="00980D67">
            <w:pPr>
              <w:jc w:val="right"/>
              <w:rPr>
                <w:rFonts w:ascii="Times New Roman" w:eastAsia="Times New Roman" w:hAnsi="Times New Roman"/>
                <w:sz w:val="20"/>
              </w:rPr>
            </w:pPr>
          </w:p>
        </w:tc>
        <w:tc>
          <w:tcPr>
            <w:tcW w:w="441" w:type="pct"/>
            <w:vMerge/>
            <w:tcBorders>
              <w:left w:val="single" w:sz="6" w:space="0" w:color="auto"/>
              <w:right w:val="single" w:sz="12" w:space="0" w:color="auto"/>
            </w:tcBorders>
            <w:tcMar>
              <w:top w:w="30" w:type="dxa"/>
              <w:left w:w="45" w:type="dxa"/>
              <w:bottom w:w="30" w:type="dxa"/>
              <w:right w:w="45" w:type="dxa"/>
            </w:tcMar>
          </w:tcPr>
          <w:p w14:paraId="63706874" w14:textId="77777777" w:rsidR="00094816" w:rsidRPr="007F24B9" w:rsidRDefault="00094816" w:rsidP="00980D67">
            <w:pPr>
              <w:jc w:val="right"/>
              <w:rPr>
                <w:rFonts w:ascii="Times New Roman" w:eastAsia="Times New Roman" w:hAnsi="Times New Roman"/>
                <w:sz w:val="20"/>
              </w:rPr>
            </w:pPr>
          </w:p>
        </w:tc>
        <w:tc>
          <w:tcPr>
            <w:tcW w:w="552" w:type="pct"/>
            <w:tcBorders>
              <w:top w:val="single" w:sz="4" w:space="0" w:color="595959" w:themeColor="text1" w:themeTint="A6"/>
              <w:left w:val="single" w:sz="12" w:space="0" w:color="auto"/>
              <w:bottom w:val="dashSmallGap" w:sz="4" w:space="0" w:color="595959" w:themeColor="text1" w:themeTint="A6"/>
              <w:right w:val="single" w:sz="6" w:space="0" w:color="auto"/>
            </w:tcBorders>
            <w:tcMar>
              <w:top w:w="30" w:type="dxa"/>
              <w:left w:w="45" w:type="dxa"/>
              <w:bottom w:w="30" w:type="dxa"/>
              <w:right w:w="45" w:type="dxa"/>
            </w:tcMar>
          </w:tcPr>
          <w:p w14:paraId="6A641848" w14:textId="719BA25C" w:rsidR="00094816" w:rsidRPr="007F24B9" w:rsidRDefault="00094816" w:rsidP="00980D67">
            <w:pPr>
              <w:jc w:val="right"/>
              <w:rPr>
                <w:rFonts w:ascii="Times New Roman" w:eastAsia="Times New Roman" w:hAnsi="Times New Roman"/>
                <w:sz w:val="20"/>
              </w:rPr>
            </w:pPr>
            <w:r w:rsidRPr="007F24B9">
              <w:rPr>
                <w:rFonts w:ascii="Times New Roman" w:eastAsia="Times New Roman" w:hAnsi="Times New Roman"/>
                <w:sz w:val="20"/>
              </w:rPr>
              <w:t>--</w:t>
            </w:r>
          </w:p>
        </w:tc>
        <w:tc>
          <w:tcPr>
            <w:tcW w:w="553" w:type="pct"/>
            <w:tcBorders>
              <w:top w:val="single" w:sz="4" w:space="0" w:color="595959" w:themeColor="text1" w:themeTint="A6"/>
              <w:left w:val="single" w:sz="6" w:space="0" w:color="auto"/>
              <w:bottom w:val="dashSmallGap" w:sz="4" w:space="0" w:color="595959" w:themeColor="text1" w:themeTint="A6"/>
              <w:right w:val="single" w:sz="12" w:space="0" w:color="auto"/>
            </w:tcBorders>
            <w:tcMar>
              <w:top w:w="30" w:type="dxa"/>
              <w:left w:w="45" w:type="dxa"/>
              <w:bottom w:w="30" w:type="dxa"/>
              <w:right w:w="45" w:type="dxa"/>
            </w:tcMar>
          </w:tcPr>
          <w:p w14:paraId="1D0482D0" w14:textId="5DA9C010" w:rsidR="00094816" w:rsidRPr="007F24B9" w:rsidRDefault="00094816" w:rsidP="00980D67">
            <w:pPr>
              <w:jc w:val="right"/>
              <w:rPr>
                <w:rFonts w:ascii="Times New Roman" w:eastAsia="Times New Roman" w:hAnsi="Times New Roman"/>
                <w:sz w:val="20"/>
              </w:rPr>
            </w:pPr>
            <w:r w:rsidRPr="007F24B9">
              <w:rPr>
                <w:rFonts w:ascii="Times New Roman" w:eastAsia="Times New Roman" w:hAnsi="Times New Roman"/>
                <w:sz w:val="20"/>
              </w:rPr>
              <w:t>--</w:t>
            </w:r>
          </w:p>
        </w:tc>
        <w:tc>
          <w:tcPr>
            <w:tcW w:w="477" w:type="pct"/>
            <w:vMerge/>
            <w:tcBorders>
              <w:left w:val="single" w:sz="12" w:space="0" w:color="auto"/>
              <w:right w:val="single" w:sz="4" w:space="0" w:color="auto"/>
            </w:tcBorders>
          </w:tcPr>
          <w:p w14:paraId="511B1451" w14:textId="4F64F4B5" w:rsidR="00094816" w:rsidRPr="007F24B9" w:rsidRDefault="00094816" w:rsidP="00980D67">
            <w:pPr>
              <w:jc w:val="right"/>
              <w:rPr>
                <w:rFonts w:ascii="Times New Roman" w:eastAsia="Times New Roman" w:hAnsi="Times New Roman"/>
                <w:sz w:val="20"/>
                <w:highlight w:val="yellow"/>
              </w:rPr>
            </w:pPr>
          </w:p>
        </w:tc>
        <w:tc>
          <w:tcPr>
            <w:tcW w:w="475" w:type="pct"/>
            <w:vMerge/>
            <w:tcBorders>
              <w:left w:val="single" w:sz="4" w:space="0" w:color="auto"/>
              <w:right w:val="single" w:sz="18" w:space="0" w:color="auto"/>
            </w:tcBorders>
          </w:tcPr>
          <w:p w14:paraId="16E74E74" w14:textId="0E30E4E7" w:rsidR="00094816" w:rsidRPr="007F24B9" w:rsidRDefault="00094816" w:rsidP="00980D67">
            <w:pPr>
              <w:jc w:val="right"/>
              <w:rPr>
                <w:rFonts w:ascii="Times New Roman" w:eastAsia="Times New Roman" w:hAnsi="Times New Roman"/>
                <w:sz w:val="20"/>
              </w:rPr>
            </w:pPr>
          </w:p>
        </w:tc>
      </w:tr>
      <w:tr w:rsidR="00094816" w:rsidRPr="007F24B9" w14:paraId="72E0D775" w14:textId="77777777" w:rsidTr="00EE4E12">
        <w:trPr>
          <w:trHeight w:val="144"/>
        </w:trPr>
        <w:tc>
          <w:tcPr>
            <w:tcW w:w="1950" w:type="pct"/>
            <w:tcBorders>
              <w:top w:val="single" w:sz="4" w:space="0" w:color="595959" w:themeColor="text1" w:themeTint="A6"/>
              <w:left w:val="single" w:sz="18" w:space="0" w:color="auto"/>
              <w:bottom w:val="single" w:sz="4" w:space="0" w:color="auto"/>
              <w:right w:val="single" w:sz="12" w:space="0" w:color="auto"/>
            </w:tcBorders>
            <w:tcMar>
              <w:top w:w="30" w:type="dxa"/>
              <w:left w:w="45" w:type="dxa"/>
              <w:bottom w:w="30" w:type="dxa"/>
              <w:right w:w="45" w:type="dxa"/>
            </w:tcMar>
            <w:vAlign w:val="center"/>
          </w:tcPr>
          <w:p w14:paraId="1892AC36" w14:textId="1B679CEB" w:rsidR="00094816" w:rsidRPr="007F24B9" w:rsidRDefault="00094816" w:rsidP="00980D67">
            <w:pPr>
              <w:ind w:left="144"/>
              <w:rPr>
                <w:rFonts w:ascii="Times New Roman" w:eastAsiaTheme="minorEastAsia" w:hAnsi="Times New Roman"/>
                <w:sz w:val="20"/>
                <w:lang w:eastAsia="ko-KR"/>
              </w:rPr>
            </w:pPr>
            <w:r w:rsidRPr="007F24B9">
              <w:rPr>
                <w:rFonts w:ascii="Times New Roman" w:eastAsiaTheme="minorEastAsia" w:hAnsi="Times New Roman"/>
                <w:sz w:val="20"/>
                <w:lang w:eastAsia="ko-KR"/>
              </w:rPr>
              <w:t>Three or more adult</w:t>
            </w:r>
            <w:r w:rsidRPr="007F24B9">
              <w:rPr>
                <w:rFonts w:ascii="Times New Roman" w:eastAsiaTheme="minorEastAsia" w:hAnsi="Times New Roman" w:hint="eastAsia"/>
                <w:sz w:val="20"/>
                <w:lang w:eastAsia="ko-KR"/>
              </w:rPr>
              <w:t>s</w:t>
            </w:r>
            <w:r w:rsidRPr="007F24B9">
              <w:rPr>
                <w:rFonts w:ascii="Times New Roman" w:eastAsiaTheme="minorEastAsia" w:hAnsi="Times New Roman"/>
                <w:sz w:val="20"/>
                <w:lang w:eastAsia="ko-KR"/>
              </w:rPr>
              <w:t xml:space="preserve"> with child</w:t>
            </w:r>
          </w:p>
        </w:tc>
        <w:tc>
          <w:tcPr>
            <w:tcW w:w="552" w:type="pct"/>
            <w:vMerge/>
            <w:tcBorders>
              <w:left w:val="single" w:sz="12" w:space="0" w:color="auto"/>
              <w:bottom w:val="single" w:sz="4" w:space="0" w:color="auto"/>
              <w:right w:val="single" w:sz="6" w:space="0" w:color="auto"/>
            </w:tcBorders>
            <w:tcMar>
              <w:top w:w="30" w:type="dxa"/>
              <w:left w:w="45" w:type="dxa"/>
              <w:bottom w:w="30" w:type="dxa"/>
              <w:right w:w="45" w:type="dxa"/>
            </w:tcMar>
          </w:tcPr>
          <w:p w14:paraId="4DE54DB0" w14:textId="77777777" w:rsidR="00094816" w:rsidRPr="007F24B9" w:rsidRDefault="00094816" w:rsidP="00980D67">
            <w:pPr>
              <w:jc w:val="right"/>
              <w:rPr>
                <w:rFonts w:ascii="Times New Roman" w:eastAsia="Times New Roman" w:hAnsi="Times New Roman"/>
                <w:sz w:val="20"/>
              </w:rPr>
            </w:pPr>
          </w:p>
        </w:tc>
        <w:tc>
          <w:tcPr>
            <w:tcW w:w="441" w:type="pct"/>
            <w:vMerge/>
            <w:tcBorders>
              <w:left w:val="single" w:sz="6" w:space="0" w:color="auto"/>
              <w:bottom w:val="single" w:sz="4" w:space="0" w:color="auto"/>
              <w:right w:val="single" w:sz="12" w:space="0" w:color="auto"/>
            </w:tcBorders>
            <w:tcMar>
              <w:top w:w="30" w:type="dxa"/>
              <w:left w:w="45" w:type="dxa"/>
              <w:bottom w:w="30" w:type="dxa"/>
              <w:right w:w="45" w:type="dxa"/>
            </w:tcMar>
          </w:tcPr>
          <w:p w14:paraId="70E22A02" w14:textId="77777777" w:rsidR="00094816" w:rsidRPr="007F24B9" w:rsidRDefault="00094816" w:rsidP="00980D67">
            <w:pPr>
              <w:jc w:val="right"/>
              <w:rPr>
                <w:rFonts w:ascii="Times New Roman" w:eastAsia="Times New Roman" w:hAnsi="Times New Roman"/>
                <w:sz w:val="20"/>
              </w:rPr>
            </w:pPr>
          </w:p>
        </w:tc>
        <w:tc>
          <w:tcPr>
            <w:tcW w:w="552" w:type="pct"/>
            <w:tcBorders>
              <w:top w:val="single" w:sz="4" w:space="0" w:color="595959" w:themeColor="text1" w:themeTint="A6"/>
              <w:left w:val="single" w:sz="12" w:space="0" w:color="auto"/>
              <w:bottom w:val="single" w:sz="4" w:space="0" w:color="auto"/>
              <w:right w:val="single" w:sz="6" w:space="0" w:color="auto"/>
            </w:tcBorders>
            <w:tcMar>
              <w:top w:w="30" w:type="dxa"/>
              <w:left w:w="45" w:type="dxa"/>
              <w:bottom w:w="30" w:type="dxa"/>
              <w:right w:w="45" w:type="dxa"/>
            </w:tcMar>
          </w:tcPr>
          <w:p w14:paraId="2F727D19" w14:textId="2FD1C0BA" w:rsidR="00094816" w:rsidRPr="007F24B9" w:rsidRDefault="001E4693" w:rsidP="00980D67">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w:t>
            </w:r>
            <w:r w:rsidR="00192CE5" w:rsidRPr="007F24B9">
              <w:rPr>
                <w:rFonts w:ascii="Times New Roman" w:eastAsiaTheme="minorEastAsia" w:hAnsi="Times New Roman" w:hint="eastAsia"/>
                <w:sz w:val="20"/>
                <w:lang w:eastAsia="ko-KR"/>
              </w:rPr>
              <w:t>0.218</w:t>
            </w:r>
          </w:p>
        </w:tc>
        <w:tc>
          <w:tcPr>
            <w:tcW w:w="553" w:type="pct"/>
            <w:tcBorders>
              <w:top w:val="single" w:sz="4" w:space="0" w:color="595959" w:themeColor="text1" w:themeTint="A6"/>
              <w:left w:val="single" w:sz="6" w:space="0" w:color="auto"/>
              <w:bottom w:val="single" w:sz="4" w:space="0" w:color="auto"/>
              <w:right w:val="single" w:sz="12" w:space="0" w:color="auto"/>
            </w:tcBorders>
            <w:tcMar>
              <w:top w:w="30" w:type="dxa"/>
              <w:left w:w="45" w:type="dxa"/>
              <w:bottom w:w="30" w:type="dxa"/>
              <w:right w:w="45" w:type="dxa"/>
            </w:tcMar>
          </w:tcPr>
          <w:p w14:paraId="5635F0FC" w14:textId="427338E8" w:rsidR="00094816" w:rsidRPr="007F24B9" w:rsidRDefault="001E4693" w:rsidP="00980D67">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w:t>
            </w:r>
            <w:r w:rsidR="00D25A98" w:rsidRPr="007F24B9">
              <w:rPr>
                <w:rFonts w:ascii="Times New Roman" w:eastAsiaTheme="minorEastAsia" w:hAnsi="Times New Roman" w:hint="eastAsia"/>
                <w:sz w:val="20"/>
                <w:lang w:eastAsia="ko-KR"/>
              </w:rPr>
              <w:t>2.</w:t>
            </w:r>
            <w:r w:rsidR="00192CE5" w:rsidRPr="007F24B9">
              <w:rPr>
                <w:rFonts w:ascii="Times New Roman" w:eastAsiaTheme="minorEastAsia" w:hAnsi="Times New Roman" w:hint="eastAsia"/>
                <w:sz w:val="20"/>
                <w:lang w:eastAsia="ko-KR"/>
              </w:rPr>
              <w:t>42</w:t>
            </w:r>
          </w:p>
        </w:tc>
        <w:tc>
          <w:tcPr>
            <w:tcW w:w="477" w:type="pct"/>
            <w:vMerge/>
            <w:tcBorders>
              <w:left w:val="single" w:sz="12" w:space="0" w:color="auto"/>
              <w:bottom w:val="single" w:sz="4" w:space="0" w:color="auto"/>
              <w:right w:val="single" w:sz="4" w:space="0" w:color="auto"/>
            </w:tcBorders>
          </w:tcPr>
          <w:p w14:paraId="6E6AE9A2" w14:textId="5F65F594" w:rsidR="00094816" w:rsidRPr="007F24B9" w:rsidRDefault="00094816" w:rsidP="00980D67">
            <w:pPr>
              <w:jc w:val="right"/>
              <w:rPr>
                <w:rFonts w:ascii="Times New Roman" w:eastAsia="Times New Roman" w:hAnsi="Times New Roman"/>
                <w:sz w:val="20"/>
                <w:highlight w:val="yellow"/>
              </w:rPr>
            </w:pPr>
          </w:p>
        </w:tc>
        <w:tc>
          <w:tcPr>
            <w:tcW w:w="475" w:type="pct"/>
            <w:vMerge/>
            <w:tcBorders>
              <w:left w:val="single" w:sz="4" w:space="0" w:color="auto"/>
              <w:bottom w:val="single" w:sz="4" w:space="0" w:color="auto"/>
              <w:right w:val="single" w:sz="18" w:space="0" w:color="auto"/>
            </w:tcBorders>
          </w:tcPr>
          <w:p w14:paraId="1691CFE2" w14:textId="62B654ED" w:rsidR="00094816" w:rsidRPr="007F24B9" w:rsidRDefault="00094816" w:rsidP="00980D67">
            <w:pPr>
              <w:jc w:val="right"/>
              <w:rPr>
                <w:rFonts w:ascii="Times New Roman" w:eastAsia="Times New Roman" w:hAnsi="Times New Roman"/>
                <w:sz w:val="20"/>
              </w:rPr>
            </w:pPr>
          </w:p>
        </w:tc>
      </w:tr>
      <w:tr w:rsidR="00980D67" w:rsidRPr="007F24B9" w14:paraId="33E89F57" w14:textId="24E81819" w:rsidTr="00C26C0A">
        <w:trPr>
          <w:trHeight w:val="144"/>
        </w:trPr>
        <w:tc>
          <w:tcPr>
            <w:tcW w:w="5000" w:type="pct"/>
            <w:gridSpan w:val="7"/>
            <w:tcBorders>
              <w:top w:val="single" w:sz="4" w:space="0" w:color="auto"/>
              <w:left w:val="single" w:sz="18" w:space="0" w:color="auto"/>
              <w:bottom w:val="single" w:sz="6" w:space="0" w:color="auto"/>
              <w:right w:val="single" w:sz="18" w:space="0" w:color="auto"/>
            </w:tcBorders>
            <w:tcMar>
              <w:top w:w="30" w:type="dxa"/>
              <w:left w:w="45" w:type="dxa"/>
              <w:bottom w:w="30" w:type="dxa"/>
              <w:right w:w="45" w:type="dxa"/>
            </w:tcMar>
            <w:vAlign w:val="center"/>
            <w:hideMark/>
          </w:tcPr>
          <w:p w14:paraId="76F12D2D" w14:textId="63BBD96B" w:rsidR="00980D67" w:rsidRPr="007F24B9" w:rsidRDefault="00980D67" w:rsidP="00980D67">
            <w:pPr>
              <w:rPr>
                <w:rFonts w:ascii="Times New Roman" w:eastAsia="Times New Roman" w:hAnsi="Times New Roman"/>
                <w:i/>
                <w:iCs/>
                <w:sz w:val="20"/>
              </w:rPr>
            </w:pPr>
            <w:r w:rsidRPr="007F24B9">
              <w:rPr>
                <w:rFonts w:ascii="Times New Roman" w:eastAsia="Times New Roman" w:hAnsi="Times New Roman"/>
                <w:i/>
                <w:iCs/>
                <w:sz w:val="20"/>
              </w:rPr>
              <w:t>Household income (</w:t>
            </w:r>
            <w:r w:rsidR="00FA0B71" w:rsidRPr="007F24B9">
              <w:rPr>
                <w:rFonts w:ascii="Times New Roman" w:eastAsia="Times New Roman" w:hAnsi="Times New Roman"/>
                <w:i/>
                <w:iCs/>
                <w:sz w:val="20"/>
              </w:rPr>
              <w:t xml:space="preserve">base: </w:t>
            </w:r>
            <w:r w:rsidRPr="007F24B9">
              <w:rPr>
                <w:rFonts w:ascii="Times New Roman" w:eastAsia="Times New Roman" w:hAnsi="Times New Roman"/>
                <w:i/>
                <w:iCs/>
                <w:sz w:val="20"/>
              </w:rPr>
              <w:t>&lt; $100,000)</w:t>
            </w:r>
          </w:p>
        </w:tc>
      </w:tr>
      <w:tr w:rsidR="00980D67" w:rsidRPr="007F24B9" w14:paraId="041DCC62" w14:textId="4D719F5C" w:rsidTr="00EE4E12">
        <w:trPr>
          <w:trHeight w:val="144"/>
        </w:trPr>
        <w:tc>
          <w:tcPr>
            <w:tcW w:w="1950" w:type="pct"/>
            <w:tcBorders>
              <w:top w:val="single" w:sz="6" w:space="0" w:color="auto"/>
              <w:left w:val="single" w:sz="18" w:space="0" w:color="auto"/>
              <w:bottom w:val="single" w:sz="12" w:space="0" w:color="auto"/>
              <w:right w:val="single" w:sz="12" w:space="0" w:color="auto"/>
            </w:tcBorders>
            <w:tcMar>
              <w:top w:w="30" w:type="dxa"/>
              <w:left w:w="45" w:type="dxa"/>
              <w:bottom w:w="30" w:type="dxa"/>
              <w:right w:w="45" w:type="dxa"/>
            </w:tcMar>
            <w:vAlign w:val="center"/>
            <w:hideMark/>
          </w:tcPr>
          <w:p w14:paraId="7E359C53" w14:textId="77777777" w:rsidR="00980D67" w:rsidRPr="007F24B9" w:rsidRDefault="00980D67" w:rsidP="00980D67">
            <w:pPr>
              <w:ind w:left="144"/>
              <w:rPr>
                <w:rFonts w:ascii="Times New Roman" w:eastAsia="Times New Roman" w:hAnsi="Times New Roman"/>
                <w:sz w:val="20"/>
              </w:rPr>
            </w:pPr>
            <w:r w:rsidRPr="007F24B9">
              <w:rPr>
                <w:rFonts w:ascii="Times New Roman" w:eastAsia="Times New Roman" w:hAnsi="Times New Roman"/>
                <w:sz w:val="20"/>
              </w:rPr>
              <w:t>$100,000 or higher</w:t>
            </w:r>
          </w:p>
        </w:tc>
        <w:tc>
          <w:tcPr>
            <w:tcW w:w="552" w:type="pct"/>
            <w:tcBorders>
              <w:top w:val="single" w:sz="6" w:space="0" w:color="auto"/>
              <w:left w:val="single" w:sz="12" w:space="0" w:color="auto"/>
              <w:bottom w:val="single" w:sz="12" w:space="0" w:color="auto"/>
              <w:right w:val="single" w:sz="6" w:space="0" w:color="auto"/>
            </w:tcBorders>
            <w:tcMar>
              <w:top w:w="30" w:type="dxa"/>
              <w:left w:w="45" w:type="dxa"/>
              <w:bottom w:w="30" w:type="dxa"/>
              <w:right w:w="45" w:type="dxa"/>
            </w:tcMar>
          </w:tcPr>
          <w:p w14:paraId="69BB268B" w14:textId="1CCFE7FA" w:rsidR="00980D67" w:rsidRPr="007F24B9" w:rsidRDefault="00D85134" w:rsidP="00980D67">
            <w:pPr>
              <w:jc w:val="right"/>
              <w:rPr>
                <w:rFonts w:ascii="Times New Roman" w:eastAsia="Times New Roman" w:hAnsi="Times New Roman"/>
                <w:sz w:val="20"/>
              </w:rPr>
            </w:pPr>
            <w:r w:rsidRPr="007F24B9">
              <w:rPr>
                <w:rFonts w:ascii="Times New Roman" w:eastAsiaTheme="minorEastAsia" w:hAnsi="Times New Roman" w:hint="eastAsia"/>
                <w:sz w:val="20"/>
                <w:lang w:eastAsia="ko-KR"/>
              </w:rPr>
              <w:t>0.0</w:t>
            </w:r>
            <w:r w:rsidR="00F529B6" w:rsidRPr="007F24B9">
              <w:rPr>
                <w:rFonts w:ascii="Times New Roman" w:eastAsiaTheme="minorEastAsia" w:hAnsi="Times New Roman" w:hint="eastAsia"/>
                <w:sz w:val="20"/>
                <w:lang w:eastAsia="ko-KR"/>
              </w:rPr>
              <w:t>9</w:t>
            </w:r>
            <w:r w:rsidR="00AF5FAB" w:rsidRPr="007F24B9">
              <w:rPr>
                <w:rFonts w:ascii="Times New Roman" w:eastAsiaTheme="minorEastAsia" w:hAnsi="Times New Roman" w:hint="eastAsia"/>
                <w:sz w:val="20"/>
                <w:lang w:eastAsia="ko-KR"/>
              </w:rPr>
              <w:t>2</w:t>
            </w:r>
          </w:p>
        </w:tc>
        <w:tc>
          <w:tcPr>
            <w:tcW w:w="441" w:type="pct"/>
            <w:tcBorders>
              <w:top w:val="single" w:sz="6" w:space="0" w:color="auto"/>
              <w:left w:val="single" w:sz="6" w:space="0" w:color="auto"/>
              <w:bottom w:val="single" w:sz="12" w:space="0" w:color="auto"/>
              <w:right w:val="single" w:sz="12" w:space="0" w:color="auto"/>
            </w:tcBorders>
            <w:tcMar>
              <w:top w:w="30" w:type="dxa"/>
              <w:left w:w="45" w:type="dxa"/>
              <w:bottom w:w="30" w:type="dxa"/>
              <w:right w:w="45" w:type="dxa"/>
            </w:tcMar>
          </w:tcPr>
          <w:p w14:paraId="4BC28F37" w14:textId="6F032BC6" w:rsidR="00980D67" w:rsidRPr="007F24B9" w:rsidRDefault="00D85134" w:rsidP="00980D67">
            <w:pPr>
              <w:jc w:val="right"/>
              <w:rPr>
                <w:rFonts w:ascii="Times New Roman" w:eastAsia="Times New Roman" w:hAnsi="Times New Roman"/>
                <w:sz w:val="20"/>
              </w:rPr>
            </w:pPr>
            <w:r w:rsidRPr="007F24B9">
              <w:rPr>
                <w:rFonts w:ascii="Times New Roman" w:eastAsiaTheme="minorEastAsia" w:hAnsi="Times New Roman" w:hint="eastAsia"/>
                <w:sz w:val="20"/>
                <w:lang w:eastAsia="ko-KR"/>
              </w:rPr>
              <w:t>1.</w:t>
            </w:r>
            <w:r w:rsidR="00F529B6" w:rsidRPr="007F24B9">
              <w:rPr>
                <w:rFonts w:ascii="Times New Roman" w:eastAsiaTheme="minorEastAsia" w:hAnsi="Times New Roman" w:hint="eastAsia"/>
                <w:sz w:val="20"/>
                <w:lang w:eastAsia="ko-KR"/>
              </w:rPr>
              <w:t>6</w:t>
            </w:r>
            <w:r w:rsidR="00AF5FAB" w:rsidRPr="007F24B9">
              <w:rPr>
                <w:rFonts w:ascii="Times New Roman" w:eastAsiaTheme="minorEastAsia" w:hAnsi="Times New Roman" w:hint="eastAsia"/>
                <w:sz w:val="20"/>
                <w:lang w:eastAsia="ko-KR"/>
              </w:rPr>
              <w:t>9</w:t>
            </w:r>
          </w:p>
        </w:tc>
        <w:tc>
          <w:tcPr>
            <w:tcW w:w="552" w:type="pct"/>
            <w:tcBorders>
              <w:top w:val="single" w:sz="6" w:space="0" w:color="auto"/>
              <w:left w:val="single" w:sz="12" w:space="0" w:color="auto"/>
              <w:bottom w:val="single" w:sz="12" w:space="0" w:color="auto"/>
              <w:right w:val="single" w:sz="6" w:space="0" w:color="auto"/>
            </w:tcBorders>
            <w:tcMar>
              <w:top w:w="30" w:type="dxa"/>
              <w:left w:w="45" w:type="dxa"/>
              <w:bottom w:w="30" w:type="dxa"/>
              <w:right w:w="45" w:type="dxa"/>
            </w:tcMar>
          </w:tcPr>
          <w:p w14:paraId="01FD2054" w14:textId="67B32F7B" w:rsidR="00980D67" w:rsidRPr="007F24B9" w:rsidRDefault="00192CE5" w:rsidP="00980D67">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0.149</w:t>
            </w:r>
          </w:p>
        </w:tc>
        <w:tc>
          <w:tcPr>
            <w:tcW w:w="553" w:type="pct"/>
            <w:tcBorders>
              <w:top w:val="single" w:sz="6" w:space="0" w:color="auto"/>
              <w:left w:val="single" w:sz="6" w:space="0" w:color="auto"/>
              <w:bottom w:val="single" w:sz="12" w:space="0" w:color="auto"/>
              <w:right w:val="single" w:sz="12" w:space="0" w:color="auto"/>
            </w:tcBorders>
            <w:tcMar>
              <w:top w:w="30" w:type="dxa"/>
              <w:left w:w="45" w:type="dxa"/>
              <w:bottom w:w="30" w:type="dxa"/>
              <w:right w:w="45" w:type="dxa"/>
            </w:tcMar>
          </w:tcPr>
          <w:p w14:paraId="66CDE6D8" w14:textId="0FF37C3A" w:rsidR="00980D67" w:rsidRPr="007F24B9" w:rsidRDefault="00192CE5" w:rsidP="00980D67">
            <w:pPr>
              <w:jc w:val="right"/>
              <w:rPr>
                <w:rFonts w:ascii="Times New Roman" w:eastAsia="Times New Roman" w:hAnsi="Times New Roman"/>
                <w:sz w:val="20"/>
              </w:rPr>
            </w:pPr>
            <w:r w:rsidRPr="007F24B9">
              <w:rPr>
                <w:rFonts w:ascii="Times New Roman" w:eastAsiaTheme="minorEastAsia" w:hAnsi="Times New Roman" w:hint="eastAsia"/>
                <w:sz w:val="20"/>
                <w:lang w:eastAsia="ko-KR"/>
              </w:rPr>
              <w:t>2.51</w:t>
            </w:r>
          </w:p>
        </w:tc>
        <w:tc>
          <w:tcPr>
            <w:tcW w:w="477" w:type="pct"/>
            <w:tcBorders>
              <w:top w:val="single" w:sz="6" w:space="0" w:color="auto"/>
              <w:left w:val="single" w:sz="12" w:space="0" w:color="auto"/>
              <w:bottom w:val="single" w:sz="12" w:space="0" w:color="auto"/>
              <w:right w:val="single" w:sz="4" w:space="0" w:color="auto"/>
            </w:tcBorders>
          </w:tcPr>
          <w:p w14:paraId="715C1FB1" w14:textId="56BFDA5F" w:rsidR="00980D67" w:rsidRPr="007F24B9" w:rsidRDefault="00980D67" w:rsidP="00980D67">
            <w:pPr>
              <w:jc w:val="right"/>
              <w:rPr>
                <w:rFonts w:ascii="Times New Roman" w:eastAsia="Times New Roman" w:hAnsi="Times New Roman"/>
                <w:sz w:val="20"/>
              </w:rPr>
            </w:pPr>
            <w:r w:rsidRPr="007F24B9">
              <w:rPr>
                <w:rFonts w:ascii="Times New Roman" w:eastAsia="Times New Roman" w:hAnsi="Times New Roman"/>
                <w:sz w:val="20"/>
              </w:rPr>
              <w:t>--</w:t>
            </w:r>
          </w:p>
        </w:tc>
        <w:tc>
          <w:tcPr>
            <w:tcW w:w="475" w:type="pct"/>
            <w:tcBorders>
              <w:top w:val="single" w:sz="6" w:space="0" w:color="auto"/>
              <w:left w:val="single" w:sz="4" w:space="0" w:color="auto"/>
              <w:bottom w:val="single" w:sz="12" w:space="0" w:color="auto"/>
              <w:right w:val="single" w:sz="18" w:space="0" w:color="auto"/>
            </w:tcBorders>
          </w:tcPr>
          <w:p w14:paraId="1AFB7241" w14:textId="5FE63513" w:rsidR="00980D67" w:rsidRPr="007F24B9" w:rsidRDefault="00980D67" w:rsidP="00980D67">
            <w:pPr>
              <w:jc w:val="right"/>
              <w:rPr>
                <w:rFonts w:ascii="Times New Roman" w:eastAsia="Times New Roman" w:hAnsi="Times New Roman"/>
                <w:sz w:val="20"/>
              </w:rPr>
            </w:pPr>
            <w:r w:rsidRPr="007F24B9">
              <w:rPr>
                <w:rFonts w:ascii="Times New Roman" w:eastAsia="Times New Roman" w:hAnsi="Times New Roman"/>
                <w:sz w:val="20"/>
              </w:rPr>
              <w:t>--</w:t>
            </w:r>
          </w:p>
        </w:tc>
      </w:tr>
      <w:tr w:rsidR="0083308B" w:rsidRPr="007F24B9" w14:paraId="4645BE58" w14:textId="77777777" w:rsidTr="002A3447">
        <w:trPr>
          <w:trHeight w:val="144"/>
        </w:trPr>
        <w:tc>
          <w:tcPr>
            <w:tcW w:w="5000" w:type="pct"/>
            <w:gridSpan w:val="7"/>
            <w:tcBorders>
              <w:top w:val="single" w:sz="12" w:space="0" w:color="auto"/>
              <w:left w:val="single" w:sz="18" w:space="0" w:color="auto"/>
              <w:bottom w:val="single" w:sz="12" w:space="0" w:color="auto"/>
              <w:right w:val="single" w:sz="18" w:space="0" w:color="auto"/>
            </w:tcBorders>
            <w:tcMar>
              <w:top w:w="30" w:type="dxa"/>
              <w:left w:w="45" w:type="dxa"/>
              <w:bottom w:w="30" w:type="dxa"/>
              <w:right w:w="45" w:type="dxa"/>
            </w:tcMar>
            <w:vAlign w:val="center"/>
          </w:tcPr>
          <w:p w14:paraId="276E1C70" w14:textId="2B640977" w:rsidR="0083308B" w:rsidRPr="007F24B9" w:rsidRDefault="0083308B" w:rsidP="002A3447">
            <w:pPr>
              <w:rPr>
                <w:rFonts w:ascii="Times New Roman" w:eastAsia="Times New Roman" w:hAnsi="Times New Roman"/>
                <w:sz w:val="20"/>
              </w:rPr>
            </w:pPr>
            <w:r w:rsidRPr="007F24B9">
              <w:rPr>
                <w:rFonts w:ascii="Times New Roman" w:eastAsia="Times New Roman" w:hAnsi="Times New Roman"/>
                <w:b/>
                <w:bCs/>
                <w:sz w:val="20"/>
              </w:rPr>
              <w:t>Endogenous Effects</w:t>
            </w:r>
          </w:p>
        </w:tc>
      </w:tr>
      <w:tr w:rsidR="00AB757D" w:rsidRPr="007F24B9" w14:paraId="19905378" w14:textId="77777777" w:rsidTr="002A3447">
        <w:trPr>
          <w:trHeight w:val="144"/>
        </w:trPr>
        <w:tc>
          <w:tcPr>
            <w:tcW w:w="5000" w:type="pct"/>
            <w:gridSpan w:val="7"/>
            <w:tcBorders>
              <w:top w:val="single" w:sz="12" w:space="0" w:color="auto"/>
              <w:left w:val="single" w:sz="18" w:space="0" w:color="auto"/>
              <w:bottom w:val="single" w:sz="8" w:space="0" w:color="auto"/>
              <w:right w:val="single" w:sz="18" w:space="0" w:color="auto"/>
            </w:tcBorders>
            <w:tcMar>
              <w:top w:w="30" w:type="dxa"/>
              <w:left w:w="45" w:type="dxa"/>
              <w:bottom w:w="30" w:type="dxa"/>
              <w:right w:w="45" w:type="dxa"/>
            </w:tcMar>
            <w:vAlign w:val="center"/>
          </w:tcPr>
          <w:p w14:paraId="2ACD1AF8" w14:textId="22FB91C2" w:rsidR="00AB757D" w:rsidRPr="007F24B9" w:rsidRDefault="00AB757D" w:rsidP="002A3447">
            <w:pPr>
              <w:rPr>
                <w:rFonts w:ascii="Times New Roman" w:eastAsiaTheme="minorEastAsia" w:hAnsi="Times New Roman"/>
                <w:i/>
                <w:iCs/>
                <w:sz w:val="20"/>
                <w:lang w:eastAsia="ko-KR"/>
              </w:rPr>
            </w:pPr>
            <w:r w:rsidRPr="007F24B9">
              <w:rPr>
                <w:rFonts w:ascii="Times New Roman" w:eastAsiaTheme="minorEastAsia" w:hAnsi="Times New Roman"/>
                <w:i/>
                <w:iCs/>
                <w:sz w:val="20"/>
                <w:lang w:eastAsia="ko-KR"/>
              </w:rPr>
              <w:t>Companionship</w:t>
            </w:r>
            <w:r w:rsidR="00B05E2A" w:rsidRPr="007F24B9">
              <w:rPr>
                <w:rFonts w:ascii="Times New Roman" w:eastAsiaTheme="minorEastAsia" w:hAnsi="Times New Roman" w:hint="eastAsia"/>
                <w:i/>
                <w:iCs/>
                <w:sz w:val="20"/>
                <w:lang w:eastAsia="ko-KR"/>
              </w:rPr>
              <w:t xml:space="preserve"> (</w:t>
            </w:r>
            <w:r w:rsidR="00FA0B71" w:rsidRPr="007F24B9">
              <w:rPr>
                <w:rFonts w:ascii="Times New Roman" w:eastAsia="Times New Roman" w:hAnsi="Times New Roman"/>
                <w:i/>
                <w:iCs/>
                <w:sz w:val="20"/>
              </w:rPr>
              <w:t xml:space="preserve">base: </w:t>
            </w:r>
            <w:r w:rsidR="00B05E2A" w:rsidRPr="007F24B9">
              <w:rPr>
                <w:rFonts w:ascii="Times New Roman" w:eastAsiaTheme="minorEastAsia" w:hAnsi="Times New Roman" w:hint="eastAsia"/>
                <w:i/>
                <w:iCs/>
                <w:sz w:val="20"/>
                <w:lang w:eastAsia="ko-KR"/>
              </w:rPr>
              <w:t>Walk with others sometimes or less)</w:t>
            </w:r>
          </w:p>
        </w:tc>
      </w:tr>
      <w:tr w:rsidR="00723F5C" w:rsidRPr="007F24B9" w14:paraId="175B76B2" w14:textId="77777777" w:rsidTr="00EE4E12">
        <w:trPr>
          <w:trHeight w:val="144"/>
        </w:trPr>
        <w:tc>
          <w:tcPr>
            <w:tcW w:w="1950" w:type="pct"/>
            <w:tcBorders>
              <w:top w:val="single" w:sz="8" w:space="0" w:color="auto"/>
              <w:left w:val="single" w:sz="18" w:space="0" w:color="auto"/>
              <w:bottom w:val="single" w:sz="6" w:space="0" w:color="auto"/>
              <w:right w:val="single" w:sz="12" w:space="0" w:color="auto"/>
            </w:tcBorders>
            <w:tcMar>
              <w:top w:w="30" w:type="dxa"/>
              <w:left w:w="45" w:type="dxa"/>
              <w:bottom w:w="30" w:type="dxa"/>
              <w:right w:w="45" w:type="dxa"/>
            </w:tcMar>
            <w:vAlign w:val="center"/>
          </w:tcPr>
          <w:p w14:paraId="426335F5" w14:textId="6A54895B" w:rsidR="004663C1" w:rsidRPr="007F24B9" w:rsidRDefault="0083308B" w:rsidP="00980D67">
            <w:pPr>
              <w:ind w:left="144"/>
              <w:rPr>
                <w:rFonts w:ascii="Times New Roman" w:eastAsia="Times New Roman" w:hAnsi="Times New Roman"/>
                <w:sz w:val="20"/>
              </w:rPr>
            </w:pPr>
            <w:r w:rsidRPr="007F24B9">
              <w:rPr>
                <w:rFonts w:ascii="Times New Roman" w:eastAsia="Times New Roman" w:hAnsi="Times New Roman"/>
                <w:sz w:val="20"/>
              </w:rPr>
              <w:t>Walk with others</w:t>
            </w:r>
            <w:r w:rsidR="004D1EC9" w:rsidRPr="007F24B9">
              <w:rPr>
                <w:rFonts w:ascii="Times New Roman" w:eastAsia="Times New Roman" w:hAnsi="Times New Roman"/>
                <w:sz w:val="20"/>
              </w:rPr>
              <w:t xml:space="preserve"> -</w:t>
            </w:r>
            <w:r w:rsidRPr="007F24B9">
              <w:rPr>
                <w:rFonts w:ascii="Times New Roman" w:eastAsia="Times New Roman" w:hAnsi="Times New Roman"/>
                <w:sz w:val="20"/>
              </w:rPr>
              <w:t xml:space="preserve"> often or always</w:t>
            </w:r>
          </w:p>
        </w:tc>
        <w:tc>
          <w:tcPr>
            <w:tcW w:w="552" w:type="pct"/>
            <w:tcBorders>
              <w:top w:val="single" w:sz="8" w:space="0" w:color="auto"/>
              <w:left w:val="single" w:sz="12" w:space="0" w:color="auto"/>
              <w:bottom w:val="single" w:sz="6" w:space="0" w:color="auto"/>
              <w:right w:val="single" w:sz="6" w:space="0" w:color="auto"/>
            </w:tcBorders>
            <w:tcMar>
              <w:top w:w="30" w:type="dxa"/>
              <w:left w:w="45" w:type="dxa"/>
              <w:bottom w:w="30" w:type="dxa"/>
              <w:right w:w="45" w:type="dxa"/>
            </w:tcMar>
          </w:tcPr>
          <w:p w14:paraId="7319D596" w14:textId="49A890B8" w:rsidR="004663C1" w:rsidRPr="007F24B9" w:rsidRDefault="00072135" w:rsidP="00980D67">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1.</w:t>
            </w:r>
            <w:r w:rsidR="00F529B6" w:rsidRPr="007F24B9">
              <w:rPr>
                <w:rFonts w:ascii="Times New Roman" w:eastAsiaTheme="minorEastAsia" w:hAnsi="Times New Roman" w:hint="eastAsia"/>
                <w:sz w:val="20"/>
                <w:lang w:eastAsia="ko-KR"/>
              </w:rPr>
              <w:t>2</w:t>
            </w:r>
            <w:r w:rsidR="00AF5FAB" w:rsidRPr="007F24B9">
              <w:rPr>
                <w:rFonts w:ascii="Times New Roman" w:eastAsiaTheme="minorEastAsia" w:hAnsi="Times New Roman" w:hint="eastAsia"/>
                <w:sz w:val="20"/>
                <w:lang w:eastAsia="ko-KR"/>
              </w:rPr>
              <w:t>54</w:t>
            </w:r>
          </w:p>
        </w:tc>
        <w:tc>
          <w:tcPr>
            <w:tcW w:w="441" w:type="pct"/>
            <w:tcBorders>
              <w:top w:val="single" w:sz="8" w:space="0" w:color="auto"/>
              <w:left w:val="single" w:sz="6" w:space="0" w:color="auto"/>
              <w:bottom w:val="single" w:sz="6" w:space="0" w:color="auto"/>
              <w:right w:val="single" w:sz="12" w:space="0" w:color="auto"/>
            </w:tcBorders>
            <w:tcMar>
              <w:top w:w="30" w:type="dxa"/>
              <w:left w:w="45" w:type="dxa"/>
              <w:bottom w:w="30" w:type="dxa"/>
              <w:right w:w="45" w:type="dxa"/>
            </w:tcMar>
          </w:tcPr>
          <w:p w14:paraId="4123D6AD" w14:textId="536E9123" w:rsidR="004663C1" w:rsidRPr="007F24B9" w:rsidRDefault="00072135" w:rsidP="00980D67">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1</w:t>
            </w:r>
            <w:r w:rsidR="00F529B6" w:rsidRPr="007F24B9">
              <w:rPr>
                <w:rFonts w:ascii="Times New Roman" w:eastAsiaTheme="minorEastAsia" w:hAnsi="Times New Roman" w:hint="eastAsia"/>
                <w:sz w:val="20"/>
                <w:lang w:eastAsia="ko-KR"/>
              </w:rPr>
              <w:t>4.</w:t>
            </w:r>
            <w:r w:rsidR="00AF5FAB" w:rsidRPr="007F24B9">
              <w:rPr>
                <w:rFonts w:ascii="Times New Roman" w:eastAsiaTheme="minorEastAsia" w:hAnsi="Times New Roman" w:hint="eastAsia"/>
                <w:sz w:val="20"/>
                <w:lang w:eastAsia="ko-KR"/>
              </w:rPr>
              <w:t>19</w:t>
            </w:r>
          </w:p>
        </w:tc>
        <w:tc>
          <w:tcPr>
            <w:tcW w:w="552" w:type="pct"/>
            <w:tcBorders>
              <w:top w:val="single" w:sz="8" w:space="0" w:color="auto"/>
              <w:left w:val="single" w:sz="12" w:space="0" w:color="auto"/>
              <w:bottom w:val="single" w:sz="6" w:space="0" w:color="auto"/>
              <w:right w:val="single" w:sz="6" w:space="0" w:color="auto"/>
            </w:tcBorders>
            <w:tcMar>
              <w:top w:w="30" w:type="dxa"/>
              <w:left w:w="45" w:type="dxa"/>
              <w:bottom w:w="30" w:type="dxa"/>
              <w:right w:w="45" w:type="dxa"/>
            </w:tcMar>
          </w:tcPr>
          <w:p w14:paraId="16EF7601" w14:textId="73C76ECD" w:rsidR="004663C1" w:rsidRPr="007F24B9" w:rsidRDefault="00192CE5" w:rsidP="00980D67">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1.179</w:t>
            </w:r>
          </w:p>
        </w:tc>
        <w:tc>
          <w:tcPr>
            <w:tcW w:w="553" w:type="pct"/>
            <w:tcBorders>
              <w:top w:val="single" w:sz="8" w:space="0" w:color="auto"/>
              <w:left w:val="single" w:sz="6" w:space="0" w:color="auto"/>
              <w:bottom w:val="single" w:sz="6" w:space="0" w:color="auto"/>
              <w:right w:val="single" w:sz="12" w:space="0" w:color="auto"/>
            </w:tcBorders>
            <w:tcMar>
              <w:top w:w="30" w:type="dxa"/>
              <w:left w:w="45" w:type="dxa"/>
              <w:bottom w:w="30" w:type="dxa"/>
              <w:right w:w="45" w:type="dxa"/>
            </w:tcMar>
          </w:tcPr>
          <w:p w14:paraId="7B8EBEF4" w14:textId="083BF38C" w:rsidR="004663C1" w:rsidRPr="007F24B9" w:rsidDel="008C2947" w:rsidRDefault="00192CE5" w:rsidP="00980D67">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10.57</w:t>
            </w:r>
          </w:p>
        </w:tc>
        <w:tc>
          <w:tcPr>
            <w:tcW w:w="477" w:type="pct"/>
            <w:tcBorders>
              <w:top w:val="single" w:sz="8" w:space="0" w:color="auto"/>
              <w:left w:val="single" w:sz="12" w:space="0" w:color="auto"/>
              <w:bottom w:val="single" w:sz="6" w:space="0" w:color="auto"/>
              <w:right w:val="single" w:sz="4" w:space="0" w:color="auto"/>
            </w:tcBorders>
          </w:tcPr>
          <w:p w14:paraId="2E40987E" w14:textId="0ED986ED" w:rsidR="004663C1" w:rsidRPr="007F24B9" w:rsidRDefault="004D1EC9" w:rsidP="00980D67">
            <w:pPr>
              <w:jc w:val="right"/>
              <w:rPr>
                <w:rFonts w:ascii="Times New Roman" w:eastAsia="Times New Roman" w:hAnsi="Times New Roman"/>
                <w:sz w:val="20"/>
              </w:rPr>
            </w:pPr>
            <w:r w:rsidRPr="007F24B9">
              <w:rPr>
                <w:rFonts w:ascii="Times New Roman" w:eastAsia="Times New Roman" w:hAnsi="Times New Roman"/>
                <w:sz w:val="20"/>
              </w:rPr>
              <w:t>--</w:t>
            </w:r>
          </w:p>
        </w:tc>
        <w:tc>
          <w:tcPr>
            <w:tcW w:w="475" w:type="pct"/>
            <w:tcBorders>
              <w:top w:val="single" w:sz="8" w:space="0" w:color="auto"/>
              <w:left w:val="single" w:sz="4" w:space="0" w:color="auto"/>
              <w:bottom w:val="single" w:sz="6" w:space="0" w:color="auto"/>
              <w:right w:val="single" w:sz="18" w:space="0" w:color="auto"/>
            </w:tcBorders>
          </w:tcPr>
          <w:p w14:paraId="7F26EB5E" w14:textId="68395459" w:rsidR="004663C1" w:rsidRPr="007F24B9" w:rsidRDefault="004D1EC9" w:rsidP="00980D67">
            <w:pPr>
              <w:jc w:val="right"/>
              <w:rPr>
                <w:rFonts w:ascii="Times New Roman" w:eastAsia="Times New Roman" w:hAnsi="Times New Roman"/>
                <w:sz w:val="20"/>
              </w:rPr>
            </w:pPr>
            <w:r w:rsidRPr="007F24B9">
              <w:rPr>
                <w:rFonts w:ascii="Times New Roman" w:eastAsia="Times New Roman" w:hAnsi="Times New Roman"/>
                <w:sz w:val="20"/>
              </w:rPr>
              <w:t>--</w:t>
            </w:r>
          </w:p>
        </w:tc>
      </w:tr>
      <w:tr w:rsidR="005F06E6" w:rsidRPr="007F24B9" w14:paraId="23969BFB" w14:textId="77777777" w:rsidTr="005F06E6">
        <w:trPr>
          <w:trHeight w:val="144"/>
        </w:trPr>
        <w:tc>
          <w:tcPr>
            <w:tcW w:w="5000" w:type="pct"/>
            <w:gridSpan w:val="7"/>
            <w:tcBorders>
              <w:top w:val="single" w:sz="8" w:space="0" w:color="auto"/>
              <w:left w:val="single" w:sz="18" w:space="0" w:color="auto"/>
              <w:bottom w:val="single" w:sz="6" w:space="0" w:color="auto"/>
              <w:right w:val="single" w:sz="18" w:space="0" w:color="auto"/>
            </w:tcBorders>
            <w:tcMar>
              <w:top w:w="30" w:type="dxa"/>
              <w:left w:w="45" w:type="dxa"/>
              <w:bottom w:w="30" w:type="dxa"/>
              <w:right w:w="45" w:type="dxa"/>
            </w:tcMar>
            <w:vAlign w:val="center"/>
          </w:tcPr>
          <w:p w14:paraId="2E37892F" w14:textId="0DEB83C8" w:rsidR="005F06E6" w:rsidRPr="007F24B9" w:rsidRDefault="005F06E6" w:rsidP="002A3447">
            <w:pPr>
              <w:rPr>
                <w:rFonts w:ascii="Times New Roman" w:eastAsia="Times New Roman" w:hAnsi="Times New Roman"/>
                <w:sz w:val="20"/>
              </w:rPr>
            </w:pPr>
            <w:r w:rsidRPr="007F24B9">
              <w:rPr>
                <w:rFonts w:ascii="Times New Roman" w:eastAsiaTheme="minorEastAsia" w:hAnsi="Times New Roman"/>
                <w:i/>
                <w:iCs/>
                <w:sz w:val="20"/>
                <w:lang w:eastAsia="ko-KR"/>
              </w:rPr>
              <w:t>Frequency</w:t>
            </w:r>
            <w:r w:rsidRPr="007F24B9">
              <w:rPr>
                <w:rFonts w:ascii="Times New Roman" w:eastAsiaTheme="minorEastAsia" w:hAnsi="Times New Roman" w:hint="eastAsia"/>
                <w:sz w:val="20"/>
                <w:lang w:eastAsia="ko-KR"/>
              </w:rPr>
              <w:t xml:space="preserve"> </w:t>
            </w:r>
            <w:r w:rsidRPr="007F24B9">
              <w:rPr>
                <w:rFonts w:ascii="Times New Roman" w:eastAsiaTheme="minorEastAsia" w:hAnsi="Times New Roman"/>
                <w:i/>
                <w:iCs/>
                <w:sz w:val="20"/>
                <w:lang w:eastAsia="ko-KR"/>
              </w:rPr>
              <w:t>(</w:t>
            </w:r>
            <w:r w:rsidR="00FA0B71" w:rsidRPr="007F24B9">
              <w:rPr>
                <w:rFonts w:ascii="Times New Roman" w:eastAsia="Times New Roman" w:hAnsi="Times New Roman"/>
                <w:i/>
                <w:iCs/>
                <w:sz w:val="20"/>
              </w:rPr>
              <w:t xml:space="preserve">base: </w:t>
            </w:r>
            <w:r w:rsidRPr="007F24B9">
              <w:rPr>
                <w:rFonts w:ascii="Times New Roman" w:eastAsiaTheme="minorEastAsia" w:hAnsi="Times New Roman"/>
                <w:i/>
                <w:iCs/>
                <w:sz w:val="20"/>
                <w:lang w:eastAsia="ko-KR"/>
              </w:rPr>
              <w:t xml:space="preserve">Never walk or less than </w:t>
            </w:r>
            <w:r w:rsidR="009042DD" w:rsidRPr="007F24B9">
              <w:rPr>
                <w:rFonts w:ascii="Times New Roman" w:eastAsiaTheme="minorEastAsia" w:hAnsi="Times New Roman" w:hint="eastAsia"/>
                <w:i/>
                <w:iCs/>
                <w:sz w:val="20"/>
                <w:lang w:eastAsia="ko-KR"/>
              </w:rPr>
              <w:t>two</w:t>
            </w:r>
            <w:r w:rsidRPr="007F24B9">
              <w:rPr>
                <w:rFonts w:ascii="Times New Roman" w:eastAsiaTheme="minorEastAsia" w:hAnsi="Times New Roman"/>
                <w:i/>
                <w:iCs/>
                <w:sz w:val="20"/>
                <w:lang w:eastAsia="ko-KR"/>
              </w:rPr>
              <w:t xml:space="preserve"> days a week)</w:t>
            </w:r>
          </w:p>
        </w:tc>
      </w:tr>
      <w:tr w:rsidR="005008D5" w:rsidRPr="007F24B9" w14:paraId="1CC8686D" w14:textId="77777777" w:rsidTr="00261282">
        <w:trPr>
          <w:trHeight w:val="144"/>
        </w:trPr>
        <w:tc>
          <w:tcPr>
            <w:tcW w:w="1950" w:type="pct"/>
            <w:tcBorders>
              <w:top w:val="single" w:sz="8" w:space="0" w:color="auto"/>
              <w:left w:val="single" w:sz="18" w:space="0" w:color="auto"/>
              <w:bottom w:val="single" w:sz="12" w:space="0" w:color="auto"/>
              <w:right w:val="single" w:sz="12" w:space="0" w:color="auto"/>
            </w:tcBorders>
            <w:tcMar>
              <w:top w:w="30" w:type="dxa"/>
              <w:left w:w="45" w:type="dxa"/>
              <w:bottom w:w="30" w:type="dxa"/>
              <w:right w:w="45" w:type="dxa"/>
            </w:tcMar>
            <w:vAlign w:val="center"/>
          </w:tcPr>
          <w:p w14:paraId="13B05C63" w14:textId="1672A19A" w:rsidR="005008D5" w:rsidRPr="007F24B9" w:rsidRDefault="005F06E6" w:rsidP="00980D67">
            <w:pPr>
              <w:ind w:left="144"/>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 xml:space="preserve">Walk more than </w:t>
            </w:r>
            <w:r w:rsidR="009042DD" w:rsidRPr="007F24B9">
              <w:rPr>
                <w:rFonts w:ascii="Times New Roman" w:eastAsiaTheme="minorEastAsia" w:hAnsi="Times New Roman" w:hint="eastAsia"/>
                <w:sz w:val="20"/>
                <w:lang w:eastAsia="ko-KR"/>
              </w:rPr>
              <w:t>three</w:t>
            </w:r>
            <w:r w:rsidRPr="007F24B9">
              <w:rPr>
                <w:rFonts w:ascii="Times New Roman" w:eastAsiaTheme="minorEastAsia" w:hAnsi="Times New Roman" w:hint="eastAsia"/>
                <w:sz w:val="20"/>
                <w:lang w:eastAsia="ko-KR"/>
              </w:rPr>
              <w:t xml:space="preserve"> days a week</w:t>
            </w:r>
          </w:p>
        </w:tc>
        <w:tc>
          <w:tcPr>
            <w:tcW w:w="552" w:type="pct"/>
            <w:tcBorders>
              <w:top w:val="single" w:sz="8" w:space="0" w:color="auto"/>
              <w:left w:val="single" w:sz="12" w:space="0" w:color="auto"/>
              <w:bottom w:val="single" w:sz="12" w:space="0" w:color="auto"/>
              <w:right w:val="single" w:sz="6" w:space="0" w:color="auto"/>
            </w:tcBorders>
            <w:tcMar>
              <w:top w:w="30" w:type="dxa"/>
              <w:left w:w="45" w:type="dxa"/>
              <w:bottom w:w="30" w:type="dxa"/>
              <w:right w:w="45" w:type="dxa"/>
            </w:tcMar>
          </w:tcPr>
          <w:p w14:paraId="6FD4F5D0" w14:textId="578A36C3" w:rsidR="005008D5" w:rsidRPr="007F24B9" w:rsidRDefault="009042DD" w:rsidP="00980D67">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w:t>
            </w:r>
          </w:p>
        </w:tc>
        <w:tc>
          <w:tcPr>
            <w:tcW w:w="441" w:type="pct"/>
            <w:tcBorders>
              <w:top w:val="single" w:sz="8" w:space="0" w:color="auto"/>
              <w:left w:val="single" w:sz="6" w:space="0" w:color="auto"/>
              <w:bottom w:val="single" w:sz="12" w:space="0" w:color="auto"/>
              <w:right w:val="single" w:sz="12" w:space="0" w:color="auto"/>
            </w:tcBorders>
            <w:tcMar>
              <w:top w:w="30" w:type="dxa"/>
              <w:left w:w="45" w:type="dxa"/>
              <w:bottom w:w="30" w:type="dxa"/>
              <w:right w:w="45" w:type="dxa"/>
            </w:tcMar>
          </w:tcPr>
          <w:p w14:paraId="57E72113" w14:textId="5BC01E5D" w:rsidR="005008D5" w:rsidRPr="007F24B9" w:rsidRDefault="009042DD" w:rsidP="00980D67">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w:t>
            </w:r>
          </w:p>
        </w:tc>
        <w:tc>
          <w:tcPr>
            <w:tcW w:w="552" w:type="pct"/>
            <w:tcBorders>
              <w:top w:val="single" w:sz="8" w:space="0" w:color="auto"/>
              <w:left w:val="single" w:sz="12" w:space="0" w:color="auto"/>
              <w:bottom w:val="single" w:sz="12" w:space="0" w:color="auto"/>
              <w:right w:val="single" w:sz="6" w:space="0" w:color="auto"/>
            </w:tcBorders>
            <w:tcMar>
              <w:top w:w="30" w:type="dxa"/>
              <w:left w:w="45" w:type="dxa"/>
              <w:bottom w:w="30" w:type="dxa"/>
              <w:right w:w="45" w:type="dxa"/>
            </w:tcMar>
          </w:tcPr>
          <w:p w14:paraId="58ECC120" w14:textId="0CB1A968" w:rsidR="005008D5" w:rsidRPr="007F24B9" w:rsidRDefault="00192CE5" w:rsidP="00980D67">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0.374</w:t>
            </w:r>
          </w:p>
        </w:tc>
        <w:tc>
          <w:tcPr>
            <w:tcW w:w="553" w:type="pct"/>
            <w:tcBorders>
              <w:top w:val="single" w:sz="8" w:space="0" w:color="auto"/>
              <w:left w:val="single" w:sz="6" w:space="0" w:color="auto"/>
              <w:bottom w:val="single" w:sz="12" w:space="0" w:color="auto"/>
              <w:right w:val="single" w:sz="12" w:space="0" w:color="auto"/>
            </w:tcBorders>
            <w:tcMar>
              <w:top w:w="30" w:type="dxa"/>
              <w:left w:w="45" w:type="dxa"/>
              <w:bottom w:w="30" w:type="dxa"/>
              <w:right w:w="45" w:type="dxa"/>
            </w:tcMar>
          </w:tcPr>
          <w:p w14:paraId="0DB9BFB2" w14:textId="2023CB3E" w:rsidR="005008D5" w:rsidRPr="007F24B9" w:rsidRDefault="00192CE5" w:rsidP="00980D67">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5.26</w:t>
            </w:r>
          </w:p>
        </w:tc>
        <w:tc>
          <w:tcPr>
            <w:tcW w:w="477" w:type="pct"/>
            <w:tcBorders>
              <w:top w:val="single" w:sz="8" w:space="0" w:color="auto"/>
              <w:left w:val="single" w:sz="12" w:space="0" w:color="auto"/>
              <w:bottom w:val="single" w:sz="12" w:space="0" w:color="auto"/>
              <w:right w:val="single" w:sz="4" w:space="0" w:color="auto"/>
            </w:tcBorders>
          </w:tcPr>
          <w:p w14:paraId="29FBC5B0" w14:textId="20691D98" w:rsidR="005008D5" w:rsidRPr="007F24B9" w:rsidRDefault="009042DD" w:rsidP="00980D67">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w:t>
            </w:r>
          </w:p>
        </w:tc>
        <w:tc>
          <w:tcPr>
            <w:tcW w:w="475" w:type="pct"/>
            <w:tcBorders>
              <w:top w:val="single" w:sz="8" w:space="0" w:color="auto"/>
              <w:left w:val="single" w:sz="4" w:space="0" w:color="auto"/>
              <w:bottom w:val="single" w:sz="12" w:space="0" w:color="auto"/>
              <w:right w:val="single" w:sz="18" w:space="0" w:color="auto"/>
            </w:tcBorders>
          </w:tcPr>
          <w:p w14:paraId="3ADBC95B" w14:textId="227DCCE8" w:rsidR="005008D5" w:rsidRPr="007F24B9" w:rsidRDefault="009042DD" w:rsidP="00980D67">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w:t>
            </w:r>
          </w:p>
        </w:tc>
      </w:tr>
      <w:tr w:rsidR="00874470" w:rsidRPr="007F24B9" w14:paraId="2EDFA9CA" w14:textId="77777777" w:rsidTr="00261282">
        <w:trPr>
          <w:trHeight w:val="144"/>
        </w:trPr>
        <w:tc>
          <w:tcPr>
            <w:tcW w:w="1950" w:type="pct"/>
            <w:tcBorders>
              <w:top w:val="single" w:sz="12" w:space="0" w:color="auto"/>
              <w:left w:val="single" w:sz="18" w:space="0" w:color="auto"/>
              <w:bottom w:val="single" w:sz="12" w:space="0" w:color="auto"/>
              <w:right w:val="single" w:sz="12" w:space="0" w:color="auto"/>
            </w:tcBorders>
            <w:tcMar>
              <w:top w:w="30" w:type="dxa"/>
              <w:left w:w="45" w:type="dxa"/>
              <w:bottom w:w="30" w:type="dxa"/>
              <w:right w:w="45" w:type="dxa"/>
            </w:tcMar>
            <w:vAlign w:val="center"/>
          </w:tcPr>
          <w:p w14:paraId="4DA0EF8E" w14:textId="58445573" w:rsidR="00874470" w:rsidRPr="007F24B9" w:rsidRDefault="00874470" w:rsidP="00980D67">
            <w:pPr>
              <w:rPr>
                <w:rFonts w:ascii="Times New Roman" w:eastAsiaTheme="minorEastAsia" w:hAnsi="Times New Roman"/>
                <w:b/>
                <w:bCs/>
                <w:sz w:val="20"/>
                <w:lang w:eastAsia="ko-KR"/>
              </w:rPr>
            </w:pPr>
            <w:r w:rsidRPr="007F24B9">
              <w:rPr>
                <w:rFonts w:ascii="Times New Roman" w:eastAsiaTheme="minorEastAsia" w:hAnsi="Times New Roman" w:hint="eastAsia"/>
                <w:b/>
                <w:bCs/>
                <w:sz w:val="20"/>
                <w:lang w:eastAsia="ko-KR"/>
              </w:rPr>
              <w:t>Variance</w:t>
            </w:r>
          </w:p>
        </w:tc>
        <w:tc>
          <w:tcPr>
            <w:tcW w:w="552" w:type="pct"/>
            <w:tcBorders>
              <w:top w:val="single" w:sz="12" w:space="0" w:color="auto"/>
              <w:left w:val="single" w:sz="12" w:space="0" w:color="auto"/>
              <w:bottom w:val="single" w:sz="12" w:space="0" w:color="auto"/>
              <w:right w:val="single" w:sz="4" w:space="0" w:color="auto"/>
            </w:tcBorders>
            <w:vAlign w:val="center"/>
          </w:tcPr>
          <w:p w14:paraId="3212EBCF" w14:textId="16F9C430" w:rsidR="00874470" w:rsidRPr="007F24B9" w:rsidRDefault="00874470" w:rsidP="00261282">
            <w:pPr>
              <w:jc w:val="right"/>
              <w:rPr>
                <w:rFonts w:ascii="Times New Roman" w:eastAsiaTheme="minorEastAsia" w:hAnsi="Times New Roman"/>
                <w:sz w:val="20"/>
                <w:lang w:eastAsia="ko-KR"/>
              </w:rPr>
            </w:pPr>
            <w:r w:rsidRPr="007F24B9">
              <w:rPr>
                <w:rFonts w:ascii="Times New Roman" w:eastAsiaTheme="minorEastAsia" w:hAnsi="Times New Roman"/>
                <w:sz w:val="20"/>
                <w:lang w:eastAsia="ko-KR"/>
              </w:rPr>
              <w:t>--</w:t>
            </w:r>
          </w:p>
        </w:tc>
        <w:tc>
          <w:tcPr>
            <w:tcW w:w="441" w:type="pct"/>
            <w:tcBorders>
              <w:top w:val="single" w:sz="12" w:space="0" w:color="auto"/>
              <w:left w:val="single" w:sz="4" w:space="0" w:color="auto"/>
              <w:bottom w:val="single" w:sz="12" w:space="0" w:color="auto"/>
              <w:right w:val="single" w:sz="12" w:space="0" w:color="auto"/>
            </w:tcBorders>
            <w:vAlign w:val="center"/>
          </w:tcPr>
          <w:p w14:paraId="1AED3A25" w14:textId="1078418A" w:rsidR="00874470" w:rsidRPr="007F24B9" w:rsidRDefault="00874470" w:rsidP="00261282">
            <w:pPr>
              <w:jc w:val="right"/>
              <w:rPr>
                <w:rFonts w:ascii="Times New Roman" w:eastAsiaTheme="minorEastAsia" w:hAnsi="Times New Roman"/>
                <w:sz w:val="20"/>
                <w:lang w:eastAsia="ko-KR"/>
              </w:rPr>
            </w:pPr>
            <w:r w:rsidRPr="007F24B9">
              <w:rPr>
                <w:rFonts w:ascii="Times New Roman" w:eastAsiaTheme="minorEastAsia" w:hAnsi="Times New Roman"/>
                <w:sz w:val="20"/>
                <w:lang w:eastAsia="ko-KR"/>
              </w:rPr>
              <w:t>--</w:t>
            </w:r>
          </w:p>
        </w:tc>
        <w:tc>
          <w:tcPr>
            <w:tcW w:w="552" w:type="pct"/>
            <w:tcBorders>
              <w:top w:val="single" w:sz="12" w:space="0" w:color="auto"/>
              <w:left w:val="single" w:sz="12" w:space="0" w:color="auto"/>
              <w:bottom w:val="single" w:sz="12" w:space="0" w:color="auto"/>
              <w:right w:val="single" w:sz="4" w:space="0" w:color="auto"/>
            </w:tcBorders>
            <w:vAlign w:val="center"/>
          </w:tcPr>
          <w:p w14:paraId="19DC5E08" w14:textId="494838CD" w:rsidR="00874470" w:rsidRPr="007F24B9" w:rsidRDefault="00874470" w:rsidP="00261282">
            <w:pPr>
              <w:jc w:val="right"/>
              <w:rPr>
                <w:rFonts w:ascii="Times New Roman" w:eastAsiaTheme="minorEastAsia" w:hAnsi="Times New Roman"/>
                <w:sz w:val="20"/>
                <w:lang w:eastAsia="ko-KR"/>
              </w:rPr>
            </w:pPr>
            <w:r w:rsidRPr="007F24B9">
              <w:rPr>
                <w:rFonts w:ascii="Times New Roman" w:eastAsiaTheme="minorEastAsia" w:hAnsi="Times New Roman"/>
                <w:sz w:val="20"/>
                <w:lang w:eastAsia="ko-KR"/>
              </w:rPr>
              <w:t>0.988</w:t>
            </w:r>
          </w:p>
        </w:tc>
        <w:tc>
          <w:tcPr>
            <w:tcW w:w="553" w:type="pct"/>
            <w:tcBorders>
              <w:top w:val="single" w:sz="12" w:space="0" w:color="auto"/>
              <w:left w:val="single" w:sz="4" w:space="0" w:color="auto"/>
              <w:bottom w:val="single" w:sz="12" w:space="0" w:color="auto"/>
              <w:right w:val="single" w:sz="12" w:space="0" w:color="auto"/>
            </w:tcBorders>
            <w:vAlign w:val="center"/>
          </w:tcPr>
          <w:p w14:paraId="36102269" w14:textId="457C2C2B" w:rsidR="00874470" w:rsidRPr="007F24B9" w:rsidRDefault="00874470" w:rsidP="00261282">
            <w:pPr>
              <w:jc w:val="right"/>
              <w:rPr>
                <w:rFonts w:ascii="Times New Roman" w:eastAsiaTheme="minorEastAsia" w:hAnsi="Times New Roman"/>
                <w:sz w:val="20"/>
                <w:lang w:eastAsia="ko-KR"/>
              </w:rPr>
            </w:pPr>
            <w:r w:rsidRPr="007F24B9">
              <w:rPr>
                <w:rFonts w:ascii="Times New Roman" w:eastAsiaTheme="minorEastAsia" w:hAnsi="Times New Roman"/>
                <w:sz w:val="20"/>
                <w:lang w:eastAsia="ko-KR"/>
              </w:rPr>
              <w:t>29.20</w:t>
            </w:r>
          </w:p>
        </w:tc>
        <w:tc>
          <w:tcPr>
            <w:tcW w:w="477" w:type="pct"/>
            <w:tcBorders>
              <w:top w:val="single" w:sz="12" w:space="0" w:color="auto"/>
              <w:left w:val="single" w:sz="12" w:space="0" w:color="auto"/>
              <w:bottom w:val="single" w:sz="12" w:space="0" w:color="auto"/>
              <w:right w:val="single" w:sz="4" w:space="0" w:color="auto"/>
            </w:tcBorders>
            <w:vAlign w:val="center"/>
          </w:tcPr>
          <w:p w14:paraId="2404F741" w14:textId="5F8D70E5" w:rsidR="00874470" w:rsidRPr="007F24B9" w:rsidRDefault="00874470" w:rsidP="00261282">
            <w:pPr>
              <w:jc w:val="right"/>
              <w:rPr>
                <w:rFonts w:ascii="Times New Roman" w:eastAsiaTheme="minorEastAsia" w:hAnsi="Times New Roman"/>
                <w:sz w:val="20"/>
                <w:lang w:eastAsia="ko-KR"/>
              </w:rPr>
            </w:pPr>
            <w:r w:rsidRPr="007F24B9">
              <w:rPr>
                <w:rFonts w:ascii="Times New Roman" w:eastAsiaTheme="minorEastAsia" w:hAnsi="Times New Roman"/>
                <w:sz w:val="20"/>
                <w:lang w:eastAsia="ko-KR"/>
              </w:rPr>
              <w:t>--</w:t>
            </w:r>
          </w:p>
        </w:tc>
        <w:tc>
          <w:tcPr>
            <w:tcW w:w="475" w:type="pct"/>
            <w:tcBorders>
              <w:top w:val="single" w:sz="12" w:space="0" w:color="auto"/>
              <w:left w:val="single" w:sz="4" w:space="0" w:color="auto"/>
              <w:bottom w:val="single" w:sz="12" w:space="0" w:color="auto"/>
              <w:right w:val="single" w:sz="18" w:space="0" w:color="auto"/>
            </w:tcBorders>
            <w:vAlign w:val="center"/>
          </w:tcPr>
          <w:p w14:paraId="5E103575" w14:textId="02405AAE" w:rsidR="00874470" w:rsidRPr="007F24B9" w:rsidRDefault="00874470" w:rsidP="00261282">
            <w:pPr>
              <w:jc w:val="right"/>
              <w:rPr>
                <w:rFonts w:ascii="Times New Roman" w:eastAsiaTheme="minorEastAsia" w:hAnsi="Times New Roman"/>
                <w:sz w:val="20"/>
                <w:lang w:eastAsia="ko-KR"/>
              </w:rPr>
            </w:pPr>
            <w:r w:rsidRPr="007F24B9">
              <w:rPr>
                <w:rFonts w:ascii="Times New Roman" w:eastAsiaTheme="minorEastAsia" w:hAnsi="Times New Roman"/>
                <w:sz w:val="20"/>
                <w:lang w:eastAsia="ko-KR"/>
              </w:rPr>
              <w:t>--</w:t>
            </w:r>
          </w:p>
        </w:tc>
      </w:tr>
      <w:tr w:rsidR="00980D67" w:rsidRPr="007F24B9" w14:paraId="092067ED" w14:textId="77777777" w:rsidTr="00815C61">
        <w:trPr>
          <w:trHeight w:val="144"/>
        </w:trPr>
        <w:tc>
          <w:tcPr>
            <w:tcW w:w="5000" w:type="pct"/>
            <w:gridSpan w:val="7"/>
            <w:tcBorders>
              <w:top w:val="single" w:sz="12" w:space="0" w:color="auto"/>
              <w:left w:val="single" w:sz="18" w:space="0" w:color="auto"/>
              <w:bottom w:val="single" w:sz="12" w:space="0" w:color="auto"/>
              <w:right w:val="single" w:sz="18" w:space="0" w:color="auto"/>
            </w:tcBorders>
            <w:tcMar>
              <w:top w:w="30" w:type="dxa"/>
              <w:left w:w="45" w:type="dxa"/>
              <w:bottom w:w="30" w:type="dxa"/>
              <w:right w:w="45" w:type="dxa"/>
            </w:tcMar>
            <w:vAlign w:val="center"/>
          </w:tcPr>
          <w:p w14:paraId="2D14918C" w14:textId="34089ACC" w:rsidR="00980D67" w:rsidRPr="007F24B9" w:rsidRDefault="00980D67" w:rsidP="00980D67">
            <w:pPr>
              <w:rPr>
                <w:rFonts w:ascii="Times New Roman" w:eastAsia="Times New Roman" w:hAnsi="Times New Roman"/>
                <w:b/>
                <w:bCs/>
                <w:sz w:val="20"/>
              </w:rPr>
            </w:pPr>
            <w:r w:rsidRPr="007F24B9">
              <w:rPr>
                <w:rFonts w:ascii="Times New Roman" w:eastAsiaTheme="minorEastAsia" w:hAnsi="Times New Roman" w:hint="eastAsia"/>
                <w:b/>
                <w:bCs/>
                <w:sz w:val="20"/>
                <w:lang w:eastAsia="ko-KR"/>
              </w:rPr>
              <w:t>Correlations</w:t>
            </w:r>
          </w:p>
        </w:tc>
      </w:tr>
      <w:tr w:rsidR="00980D67" w:rsidRPr="007F24B9" w14:paraId="6EBED6AC" w14:textId="77777777" w:rsidTr="00261282">
        <w:trPr>
          <w:trHeight w:val="144"/>
        </w:trPr>
        <w:tc>
          <w:tcPr>
            <w:tcW w:w="1950" w:type="pct"/>
            <w:tcBorders>
              <w:top w:val="single" w:sz="12" w:space="0" w:color="auto"/>
              <w:left w:val="single" w:sz="18" w:space="0" w:color="auto"/>
              <w:bottom w:val="dashSmallGap" w:sz="4" w:space="0" w:color="auto"/>
              <w:right w:val="single" w:sz="12" w:space="0" w:color="auto"/>
            </w:tcBorders>
            <w:tcMar>
              <w:top w:w="30" w:type="dxa"/>
              <w:left w:w="45" w:type="dxa"/>
              <w:bottom w:w="30" w:type="dxa"/>
              <w:right w:w="45" w:type="dxa"/>
            </w:tcMar>
            <w:vAlign w:val="center"/>
          </w:tcPr>
          <w:p w14:paraId="20519F0D" w14:textId="2F2527ED" w:rsidR="00980D67" w:rsidRPr="007F24B9" w:rsidRDefault="00980D67" w:rsidP="00980D67">
            <w:pPr>
              <w:rPr>
                <w:rFonts w:ascii="Times New Roman" w:eastAsiaTheme="minorEastAsia" w:hAnsi="Times New Roman"/>
                <w:sz w:val="20"/>
                <w:lang w:eastAsia="ko-KR"/>
              </w:rPr>
            </w:pPr>
            <w:r w:rsidRPr="007F24B9">
              <w:rPr>
                <w:rFonts w:ascii="Times New Roman" w:eastAsiaTheme="minorEastAsia" w:hAnsi="Times New Roman"/>
                <w:sz w:val="20"/>
                <w:lang w:eastAsia="ko-KR"/>
              </w:rPr>
              <w:t>Frequency</w:t>
            </w:r>
          </w:p>
        </w:tc>
        <w:tc>
          <w:tcPr>
            <w:tcW w:w="552" w:type="pct"/>
            <w:tcBorders>
              <w:top w:val="single" w:sz="12" w:space="0" w:color="auto"/>
              <w:left w:val="single" w:sz="12" w:space="0" w:color="auto"/>
              <w:bottom w:val="dashSmallGap" w:sz="4" w:space="0" w:color="auto"/>
              <w:right w:val="single" w:sz="8" w:space="0" w:color="auto"/>
            </w:tcBorders>
            <w:tcMar>
              <w:top w:w="30" w:type="dxa"/>
              <w:left w:w="45" w:type="dxa"/>
              <w:bottom w:w="30" w:type="dxa"/>
              <w:right w:w="45" w:type="dxa"/>
            </w:tcMar>
          </w:tcPr>
          <w:p w14:paraId="5CD9BC90" w14:textId="6AC44182" w:rsidR="00980D67" w:rsidRPr="007F24B9" w:rsidRDefault="00072135" w:rsidP="00980D67">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1.0</w:t>
            </w:r>
            <w:r w:rsidR="007C456C" w:rsidRPr="007F24B9">
              <w:rPr>
                <w:rFonts w:ascii="Times New Roman" w:eastAsiaTheme="minorEastAsia" w:hAnsi="Times New Roman" w:hint="eastAsia"/>
                <w:sz w:val="20"/>
                <w:lang w:eastAsia="ko-KR"/>
              </w:rPr>
              <w:t>0</w:t>
            </w:r>
          </w:p>
        </w:tc>
        <w:tc>
          <w:tcPr>
            <w:tcW w:w="441" w:type="pct"/>
            <w:tcBorders>
              <w:top w:val="single" w:sz="12" w:space="0" w:color="auto"/>
              <w:left w:val="single" w:sz="8" w:space="0" w:color="auto"/>
              <w:bottom w:val="dashSmallGap" w:sz="4" w:space="0" w:color="auto"/>
              <w:right w:val="single" w:sz="12" w:space="0" w:color="auto"/>
            </w:tcBorders>
          </w:tcPr>
          <w:p w14:paraId="5F97BA4B" w14:textId="55BD6725" w:rsidR="00980D67" w:rsidRPr="007F24B9" w:rsidRDefault="00072135" w:rsidP="00980D67">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w:t>
            </w:r>
          </w:p>
        </w:tc>
        <w:tc>
          <w:tcPr>
            <w:tcW w:w="552" w:type="pct"/>
            <w:tcBorders>
              <w:top w:val="single" w:sz="12" w:space="0" w:color="auto"/>
              <w:left w:val="single" w:sz="12" w:space="0" w:color="auto"/>
              <w:bottom w:val="dashSmallGap" w:sz="4" w:space="0" w:color="auto"/>
              <w:right w:val="single" w:sz="8" w:space="0" w:color="auto"/>
            </w:tcBorders>
            <w:tcMar>
              <w:top w:w="30" w:type="dxa"/>
              <w:left w:w="45" w:type="dxa"/>
              <w:bottom w:w="30" w:type="dxa"/>
              <w:right w:w="45" w:type="dxa"/>
            </w:tcMar>
          </w:tcPr>
          <w:p w14:paraId="47EB1EBA" w14:textId="58E293E9" w:rsidR="00980D67" w:rsidRPr="007F24B9" w:rsidRDefault="009571F6" w:rsidP="00980D67">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0.</w:t>
            </w:r>
            <w:r w:rsidR="00C8464F" w:rsidRPr="007F24B9">
              <w:rPr>
                <w:rFonts w:ascii="Times New Roman" w:eastAsiaTheme="minorEastAsia" w:hAnsi="Times New Roman" w:hint="eastAsia"/>
                <w:sz w:val="20"/>
                <w:lang w:eastAsia="ko-KR"/>
              </w:rPr>
              <w:t>6</w:t>
            </w:r>
            <w:r w:rsidR="00126528" w:rsidRPr="007F24B9">
              <w:rPr>
                <w:rFonts w:ascii="Times New Roman" w:eastAsiaTheme="minorEastAsia" w:hAnsi="Times New Roman"/>
                <w:sz w:val="20"/>
                <w:lang w:eastAsia="ko-KR"/>
              </w:rPr>
              <w:t>6</w:t>
            </w:r>
          </w:p>
        </w:tc>
        <w:tc>
          <w:tcPr>
            <w:tcW w:w="553" w:type="pct"/>
            <w:tcBorders>
              <w:top w:val="single" w:sz="12" w:space="0" w:color="auto"/>
              <w:left w:val="single" w:sz="8" w:space="0" w:color="auto"/>
              <w:bottom w:val="dashSmallGap" w:sz="4" w:space="0" w:color="auto"/>
              <w:right w:val="single" w:sz="12" w:space="0" w:color="auto"/>
            </w:tcBorders>
          </w:tcPr>
          <w:p w14:paraId="600C32E2" w14:textId="65084751" w:rsidR="00980D67" w:rsidRPr="007F24B9" w:rsidRDefault="00C8464F" w:rsidP="00980D67">
            <w:pPr>
              <w:jc w:val="right"/>
              <w:rPr>
                <w:rFonts w:ascii="Times New Roman" w:eastAsia="Times New Roman" w:hAnsi="Times New Roman"/>
                <w:sz w:val="20"/>
              </w:rPr>
            </w:pPr>
            <w:r w:rsidRPr="007F24B9">
              <w:rPr>
                <w:rFonts w:ascii="Times New Roman" w:eastAsiaTheme="minorEastAsia" w:hAnsi="Times New Roman" w:hint="eastAsia"/>
                <w:sz w:val="20"/>
                <w:lang w:eastAsia="ko-KR"/>
              </w:rPr>
              <w:t>24.</w:t>
            </w:r>
            <w:r w:rsidR="007C456C" w:rsidRPr="007F24B9">
              <w:rPr>
                <w:rFonts w:ascii="Times New Roman" w:eastAsiaTheme="minorEastAsia" w:hAnsi="Times New Roman" w:hint="eastAsia"/>
                <w:sz w:val="20"/>
                <w:lang w:eastAsia="ko-KR"/>
              </w:rPr>
              <w:t>5</w:t>
            </w:r>
            <w:r w:rsidRPr="007F24B9">
              <w:rPr>
                <w:rFonts w:ascii="Times New Roman" w:eastAsiaTheme="minorEastAsia" w:hAnsi="Times New Roman" w:hint="eastAsia"/>
                <w:sz w:val="20"/>
                <w:lang w:eastAsia="ko-KR"/>
              </w:rPr>
              <w:t>4</w:t>
            </w:r>
          </w:p>
        </w:tc>
        <w:tc>
          <w:tcPr>
            <w:tcW w:w="477" w:type="pct"/>
            <w:tcBorders>
              <w:top w:val="single" w:sz="12" w:space="0" w:color="auto"/>
              <w:left w:val="single" w:sz="12" w:space="0" w:color="auto"/>
              <w:bottom w:val="dashSmallGap" w:sz="4" w:space="0" w:color="auto"/>
              <w:right w:val="single" w:sz="8" w:space="0" w:color="auto"/>
            </w:tcBorders>
          </w:tcPr>
          <w:p w14:paraId="1F90D707" w14:textId="1235E149" w:rsidR="00980D67" w:rsidRPr="007F24B9" w:rsidRDefault="009571F6" w:rsidP="00980D67">
            <w:pPr>
              <w:jc w:val="right"/>
              <w:rPr>
                <w:rFonts w:ascii="Times New Roman" w:eastAsia="Times New Roman" w:hAnsi="Times New Roman"/>
                <w:sz w:val="20"/>
              </w:rPr>
            </w:pPr>
            <w:r w:rsidRPr="007F24B9">
              <w:rPr>
                <w:rFonts w:ascii="Times New Roman" w:eastAsiaTheme="minorEastAsia" w:hAnsi="Times New Roman" w:hint="eastAsia"/>
                <w:sz w:val="20"/>
                <w:lang w:eastAsia="ko-KR"/>
              </w:rPr>
              <w:t>-0.5</w:t>
            </w:r>
            <w:r w:rsidR="00126528" w:rsidRPr="007F24B9">
              <w:rPr>
                <w:rFonts w:ascii="Times New Roman" w:eastAsiaTheme="minorEastAsia" w:hAnsi="Times New Roman"/>
                <w:sz w:val="20"/>
                <w:lang w:eastAsia="ko-KR"/>
              </w:rPr>
              <w:t>7</w:t>
            </w:r>
          </w:p>
        </w:tc>
        <w:tc>
          <w:tcPr>
            <w:tcW w:w="475" w:type="pct"/>
            <w:tcBorders>
              <w:top w:val="single" w:sz="12" w:space="0" w:color="auto"/>
              <w:left w:val="single" w:sz="8" w:space="0" w:color="auto"/>
              <w:bottom w:val="dashSmallGap" w:sz="4" w:space="0" w:color="auto"/>
              <w:right w:val="single" w:sz="18" w:space="0" w:color="auto"/>
            </w:tcBorders>
          </w:tcPr>
          <w:p w14:paraId="27E3F1C5" w14:textId="6013C138" w:rsidR="00980D67" w:rsidRPr="007F24B9" w:rsidRDefault="009571F6" w:rsidP="00980D67">
            <w:pPr>
              <w:jc w:val="right"/>
              <w:rPr>
                <w:rFonts w:ascii="Times New Roman" w:eastAsia="Times New Roman" w:hAnsi="Times New Roman"/>
                <w:sz w:val="20"/>
              </w:rPr>
            </w:pPr>
            <w:r w:rsidRPr="007F24B9">
              <w:rPr>
                <w:rFonts w:ascii="Times New Roman" w:eastAsiaTheme="minorEastAsia" w:hAnsi="Times New Roman" w:hint="eastAsia"/>
                <w:sz w:val="20"/>
                <w:lang w:eastAsia="ko-KR"/>
              </w:rPr>
              <w:t>-</w:t>
            </w:r>
            <w:r w:rsidR="00C8464F" w:rsidRPr="007F24B9">
              <w:rPr>
                <w:rFonts w:ascii="Times New Roman" w:eastAsiaTheme="minorEastAsia" w:hAnsi="Times New Roman" w:hint="eastAsia"/>
                <w:sz w:val="20"/>
                <w:lang w:eastAsia="ko-KR"/>
              </w:rPr>
              <w:t>15.</w:t>
            </w:r>
            <w:r w:rsidR="007C456C" w:rsidRPr="007F24B9">
              <w:rPr>
                <w:rFonts w:ascii="Times New Roman" w:eastAsiaTheme="minorEastAsia" w:hAnsi="Times New Roman" w:hint="eastAsia"/>
                <w:sz w:val="20"/>
                <w:lang w:eastAsia="ko-KR"/>
              </w:rPr>
              <w:t>98</w:t>
            </w:r>
          </w:p>
        </w:tc>
      </w:tr>
      <w:tr w:rsidR="00980D67" w:rsidRPr="007F24B9" w14:paraId="67E9833F" w14:textId="77777777" w:rsidTr="00261282">
        <w:trPr>
          <w:trHeight w:val="144"/>
        </w:trPr>
        <w:tc>
          <w:tcPr>
            <w:tcW w:w="1950" w:type="pct"/>
            <w:tcBorders>
              <w:top w:val="dashSmallGap" w:sz="4" w:space="0" w:color="auto"/>
              <w:left w:val="single" w:sz="18" w:space="0" w:color="auto"/>
              <w:bottom w:val="dashSmallGap" w:sz="4" w:space="0" w:color="auto"/>
              <w:right w:val="single" w:sz="12" w:space="0" w:color="auto"/>
            </w:tcBorders>
            <w:tcMar>
              <w:top w:w="30" w:type="dxa"/>
              <w:left w:w="45" w:type="dxa"/>
              <w:bottom w:w="30" w:type="dxa"/>
              <w:right w:w="45" w:type="dxa"/>
            </w:tcMar>
            <w:vAlign w:val="center"/>
          </w:tcPr>
          <w:p w14:paraId="5A80E075" w14:textId="33E84350" w:rsidR="00980D67" w:rsidRPr="007F24B9" w:rsidRDefault="00980D67" w:rsidP="00980D67">
            <w:pPr>
              <w:rPr>
                <w:rFonts w:ascii="Times New Roman" w:eastAsiaTheme="minorEastAsia" w:hAnsi="Times New Roman"/>
                <w:sz w:val="20"/>
                <w:lang w:eastAsia="ko-KR"/>
              </w:rPr>
            </w:pPr>
            <w:r w:rsidRPr="007F24B9">
              <w:rPr>
                <w:rFonts w:ascii="Times New Roman" w:eastAsiaTheme="minorEastAsia" w:hAnsi="Times New Roman"/>
                <w:sz w:val="20"/>
                <w:lang w:eastAsia="ko-KR"/>
              </w:rPr>
              <w:t>Duration</w:t>
            </w:r>
          </w:p>
        </w:tc>
        <w:tc>
          <w:tcPr>
            <w:tcW w:w="552" w:type="pct"/>
            <w:tcBorders>
              <w:top w:val="dashSmallGap" w:sz="4" w:space="0" w:color="auto"/>
              <w:left w:val="single" w:sz="12" w:space="0" w:color="auto"/>
              <w:bottom w:val="dashSmallGap" w:sz="4" w:space="0" w:color="auto"/>
              <w:right w:val="single" w:sz="8" w:space="0" w:color="auto"/>
            </w:tcBorders>
            <w:tcMar>
              <w:top w:w="30" w:type="dxa"/>
              <w:left w:w="45" w:type="dxa"/>
              <w:bottom w:w="30" w:type="dxa"/>
              <w:right w:w="45" w:type="dxa"/>
            </w:tcMar>
          </w:tcPr>
          <w:p w14:paraId="55ABF20C" w14:textId="09732E65" w:rsidR="00980D67" w:rsidRPr="007F24B9" w:rsidRDefault="00072135" w:rsidP="00980D67">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w:t>
            </w:r>
          </w:p>
        </w:tc>
        <w:tc>
          <w:tcPr>
            <w:tcW w:w="441" w:type="pct"/>
            <w:tcBorders>
              <w:top w:val="dashSmallGap" w:sz="4" w:space="0" w:color="auto"/>
              <w:left w:val="single" w:sz="8" w:space="0" w:color="auto"/>
              <w:bottom w:val="dashSmallGap" w:sz="4" w:space="0" w:color="auto"/>
              <w:right w:val="single" w:sz="12" w:space="0" w:color="auto"/>
            </w:tcBorders>
          </w:tcPr>
          <w:p w14:paraId="50EE25B6" w14:textId="22C7960F" w:rsidR="00980D67" w:rsidRPr="007F24B9" w:rsidRDefault="00072135" w:rsidP="00980D67">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w:t>
            </w:r>
          </w:p>
        </w:tc>
        <w:tc>
          <w:tcPr>
            <w:tcW w:w="552" w:type="pct"/>
            <w:tcBorders>
              <w:top w:val="dashSmallGap" w:sz="4" w:space="0" w:color="auto"/>
              <w:left w:val="single" w:sz="12" w:space="0" w:color="auto"/>
              <w:bottom w:val="dashSmallGap" w:sz="4" w:space="0" w:color="auto"/>
              <w:right w:val="single" w:sz="8" w:space="0" w:color="auto"/>
            </w:tcBorders>
            <w:tcMar>
              <w:top w:w="30" w:type="dxa"/>
              <w:left w:w="45" w:type="dxa"/>
              <w:bottom w:w="30" w:type="dxa"/>
              <w:right w:w="45" w:type="dxa"/>
            </w:tcMar>
          </w:tcPr>
          <w:p w14:paraId="6DE20FCD" w14:textId="11690A01" w:rsidR="00980D67" w:rsidRPr="007F24B9" w:rsidRDefault="00072135" w:rsidP="00980D67">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1.00</w:t>
            </w:r>
          </w:p>
        </w:tc>
        <w:tc>
          <w:tcPr>
            <w:tcW w:w="553" w:type="pct"/>
            <w:tcBorders>
              <w:top w:val="dashSmallGap" w:sz="4" w:space="0" w:color="auto"/>
              <w:left w:val="single" w:sz="8" w:space="0" w:color="auto"/>
              <w:bottom w:val="dashSmallGap" w:sz="4" w:space="0" w:color="auto"/>
              <w:right w:val="single" w:sz="12" w:space="0" w:color="auto"/>
            </w:tcBorders>
          </w:tcPr>
          <w:p w14:paraId="65C76BDF" w14:textId="3E60F334" w:rsidR="00980D67" w:rsidRPr="007F24B9" w:rsidRDefault="00072135" w:rsidP="00980D67">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w:t>
            </w:r>
          </w:p>
        </w:tc>
        <w:tc>
          <w:tcPr>
            <w:tcW w:w="477" w:type="pct"/>
            <w:tcBorders>
              <w:top w:val="dashSmallGap" w:sz="4" w:space="0" w:color="auto"/>
              <w:left w:val="single" w:sz="12" w:space="0" w:color="auto"/>
              <w:bottom w:val="dashSmallGap" w:sz="4" w:space="0" w:color="auto"/>
              <w:right w:val="single" w:sz="8" w:space="0" w:color="auto"/>
            </w:tcBorders>
          </w:tcPr>
          <w:p w14:paraId="7941FAB1" w14:textId="38107779" w:rsidR="00980D67" w:rsidRPr="007F24B9" w:rsidRDefault="009571F6" w:rsidP="00980D67">
            <w:pPr>
              <w:jc w:val="right"/>
              <w:rPr>
                <w:rFonts w:ascii="Times New Roman" w:eastAsia="Times New Roman" w:hAnsi="Times New Roman"/>
                <w:sz w:val="20"/>
              </w:rPr>
            </w:pPr>
            <w:r w:rsidRPr="007F24B9">
              <w:rPr>
                <w:rFonts w:ascii="Times New Roman" w:eastAsiaTheme="minorEastAsia" w:hAnsi="Times New Roman" w:hint="eastAsia"/>
                <w:sz w:val="20"/>
                <w:lang w:eastAsia="ko-KR"/>
              </w:rPr>
              <w:t>-0.</w:t>
            </w:r>
            <w:r w:rsidR="00F33FCB" w:rsidRPr="007F24B9">
              <w:rPr>
                <w:rFonts w:ascii="Times New Roman" w:eastAsiaTheme="minorEastAsia" w:hAnsi="Times New Roman" w:hint="eastAsia"/>
                <w:sz w:val="20"/>
                <w:lang w:eastAsia="ko-KR"/>
              </w:rPr>
              <w:t>4</w:t>
            </w:r>
            <w:r w:rsidR="007C456C" w:rsidRPr="007F24B9">
              <w:rPr>
                <w:rFonts w:ascii="Times New Roman" w:eastAsiaTheme="minorEastAsia" w:hAnsi="Times New Roman" w:hint="eastAsia"/>
                <w:sz w:val="20"/>
                <w:lang w:eastAsia="ko-KR"/>
              </w:rPr>
              <w:t>4</w:t>
            </w:r>
          </w:p>
        </w:tc>
        <w:tc>
          <w:tcPr>
            <w:tcW w:w="475" w:type="pct"/>
            <w:tcBorders>
              <w:top w:val="dashSmallGap" w:sz="4" w:space="0" w:color="auto"/>
              <w:left w:val="single" w:sz="8" w:space="0" w:color="auto"/>
              <w:bottom w:val="dashSmallGap" w:sz="4" w:space="0" w:color="auto"/>
              <w:right w:val="single" w:sz="18" w:space="0" w:color="auto"/>
            </w:tcBorders>
          </w:tcPr>
          <w:p w14:paraId="53AE7C75" w14:textId="2EE38CE2" w:rsidR="00980D67" w:rsidRPr="007F24B9" w:rsidRDefault="009571F6" w:rsidP="0043437A">
            <w:pPr>
              <w:jc w:val="right"/>
              <w:rPr>
                <w:rFonts w:ascii="Times New Roman" w:eastAsia="Times New Roman" w:hAnsi="Times New Roman"/>
                <w:sz w:val="20"/>
              </w:rPr>
            </w:pPr>
            <w:r w:rsidRPr="007F24B9">
              <w:rPr>
                <w:rFonts w:ascii="Times New Roman" w:eastAsiaTheme="minorEastAsia" w:hAnsi="Times New Roman" w:hint="eastAsia"/>
                <w:sz w:val="20"/>
                <w:lang w:eastAsia="ko-KR"/>
              </w:rPr>
              <w:t>-1</w:t>
            </w:r>
            <w:r w:rsidR="007C456C" w:rsidRPr="007F24B9">
              <w:rPr>
                <w:rFonts w:ascii="Times New Roman" w:eastAsiaTheme="minorEastAsia" w:hAnsi="Times New Roman" w:hint="eastAsia"/>
                <w:sz w:val="20"/>
                <w:lang w:eastAsia="ko-KR"/>
              </w:rPr>
              <w:t>1.28</w:t>
            </w:r>
          </w:p>
        </w:tc>
      </w:tr>
      <w:tr w:rsidR="009042DD" w:rsidRPr="007F24B9" w14:paraId="1FC503D1" w14:textId="77777777" w:rsidTr="00261282">
        <w:trPr>
          <w:trHeight w:val="144"/>
        </w:trPr>
        <w:tc>
          <w:tcPr>
            <w:tcW w:w="1950" w:type="pct"/>
            <w:tcBorders>
              <w:top w:val="dashSmallGap" w:sz="4" w:space="0" w:color="auto"/>
              <w:left w:val="single" w:sz="18" w:space="0" w:color="auto"/>
              <w:bottom w:val="single" w:sz="12" w:space="0" w:color="auto"/>
              <w:right w:val="single" w:sz="12" w:space="0" w:color="auto"/>
            </w:tcBorders>
            <w:tcMar>
              <w:top w:w="30" w:type="dxa"/>
              <w:left w:w="45" w:type="dxa"/>
              <w:bottom w:w="30" w:type="dxa"/>
              <w:right w:w="45" w:type="dxa"/>
            </w:tcMar>
            <w:vAlign w:val="center"/>
          </w:tcPr>
          <w:p w14:paraId="556AB2BB" w14:textId="56CED2F7" w:rsidR="00980D67" w:rsidRPr="007F24B9" w:rsidRDefault="00980D67" w:rsidP="00980D67">
            <w:pPr>
              <w:rPr>
                <w:rFonts w:ascii="Times New Roman" w:eastAsiaTheme="minorEastAsia" w:hAnsi="Times New Roman"/>
                <w:sz w:val="20"/>
                <w:lang w:eastAsia="ko-KR"/>
              </w:rPr>
            </w:pPr>
            <w:r w:rsidRPr="007F24B9">
              <w:rPr>
                <w:rFonts w:ascii="Times New Roman" w:eastAsiaTheme="minorEastAsia" w:hAnsi="Times New Roman"/>
                <w:sz w:val="20"/>
                <w:lang w:eastAsia="ko-KR"/>
              </w:rPr>
              <w:t>Companionship</w:t>
            </w:r>
          </w:p>
        </w:tc>
        <w:tc>
          <w:tcPr>
            <w:tcW w:w="552" w:type="pct"/>
            <w:tcBorders>
              <w:top w:val="dashSmallGap" w:sz="4" w:space="0" w:color="auto"/>
              <w:left w:val="single" w:sz="12" w:space="0" w:color="auto"/>
              <w:bottom w:val="single" w:sz="12" w:space="0" w:color="auto"/>
              <w:right w:val="single" w:sz="8" w:space="0" w:color="auto"/>
            </w:tcBorders>
            <w:tcMar>
              <w:top w:w="30" w:type="dxa"/>
              <w:left w:w="45" w:type="dxa"/>
              <w:bottom w:w="30" w:type="dxa"/>
              <w:right w:w="45" w:type="dxa"/>
            </w:tcMar>
          </w:tcPr>
          <w:p w14:paraId="70B7BA8C" w14:textId="1FFCCC77" w:rsidR="00980D67" w:rsidRPr="007F24B9" w:rsidRDefault="00072135" w:rsidP="00980D67">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w:t>
            </w:r>
          </w:p>
        </w:tc>
        <w:tc>
          <w:tcPr>
            <w:tcW w:w="441" w:type="pct"/>
            <w:tcBorders>
              <w:top w:val="dashSmallGap" w:sz="4" w:space="0" w:color="auto"/>
              <w:left w:val="single" w:sz="8" w:space="0" w:color="auto"/>
              <w:bottom w:val="single" w:sz="12" w:space="0" w:color="auto"/>
              <w:right w:val="single" w:sz="12" w:space="0" w:color="auto"/>
            </w:tcBorders>
          </w:tcPr>
          <w:p w14:paraId="312761C1" w14:textId="403CBCD5" w:rsidR="00980D67" w:rsidRPr="007F24B9" w:rsidRDefault="00072135" w:rsidP="00980D67">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w:t>
            </w:r>
          </w:p>
        </w:tc>
        <w:tc>
          <w:tcPr>
            <w:tcW w:w="552" w:type="pct"/>
            <w:tcBorders>
              <w:top w:val="dashSmallGap" w:sz="4" w:space="0" w:color="auto"/>
              <w:left w:val="single" w:sz="12" w:space="0" w:color="auto"/>
              <w:bottom w:val="single" w:sz="12" w:space="0" w:color="auto"/>
              <w:right w:val="single" w:sz="8" w:space="0" w:color="auto"/>
            </w:tcBorders>
            <w:tcMar>
              <w:top w:w="30" w:type="dxa"/>
              <w:left w:w="45" w:type="dxa"/>
              <w:bottom w:w="30" w:type="dxa"/>
              <w:right w:w="45" w:type="dxa"/>
            </w:tcMar>
          </w:tcPr>
          <w:p w14:paraId="6F33F7A4" w14:textId="29B6510F" w:rsidR="00980D67" w:rsidRPr="007F24B9" w:rsidRDefault="00072135" w:rsidP="00980D67">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w:t>
            </w:r>
          </w:p>
        </w:tc>
        <w:tc>
          <w:tcPr>
            <w:tcW w:w="553" w:type="pct"/>
            <w:tcBorders>
              <w:top w:val="dashSmallGap" w:sz="4" w:space="0" w:color="auto"/>
              <w:left w:val="single" w:sz="8" w:space="0" w:color="auto"/>
              <w:bottom w:val="single" w:sz="12" w:space="0" w:color="auto"/>
              <w:right w:val="single" w:sz="12" w:space="0" w:color="auto"/>
            </w:tcBorders>
          </w:tcPr>
          <w:p w14:paraId="346F2FF9" w14:textId="6A135A97" w:rsidR="00980D67" w:rsidRPr="007F24B9" w:rsidRDefault="00072135" w:rsidP="00980D67">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w:t>
            </w:r>
          </w:p>
        </w:tc>
        <w:tc>
          <w:tcPr>
            <w:tcW w:w="477" w:type="pct"/>
            <w:tcBorders>
              <w:top w:val="dashSmallGap" w:sz="4" w:space="0" w:color="auto"/>
              <w:left w:val="single" w:sz="12" w:space="0" w:color="auto"/>
              <w:bottom w:val="single" w:sz="12" w:space="0" w:color="auto"/>
              <w:right w:val="single" w:sz="8" w:space="0" w:color="auto"/>
            </w:tcBorders>
          </w:tcPr>
          <w:p w14:paraId="2B01D304" w14:textId="75251BC8" w:rsidR="00980D67" w:rsidRPr="007F24B9" w:rsidRDefault="00072135" w:rsidP="00980D67">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1.00</w:t>
            </w:r>
          </w:p>
        </w:tc>
        <w:tc>
          <w:tcPr>
            <w:tcW w:w="475" w:type="pct"/>
            <w:tcBorders>
              <w:top w:val="dashSmallGap" w:sz="4" w:space="0" w:color="auto"/>
              <w:left w:val="single" w:sz="8" w:space="0" w:color="auto"/>
              <w:bottom w:val="single" w:sz="12" w:space="0" w:color="auto"/>
              <w:right w:val="single" w:sz="18" w:space="0" w:color="auto"/>
            </w:tcBorders>
          </w:tcPr>
          <w:p w14:paraId="3C9E4B8C" w14:textId="2BA7B0C8" w:rsidR="00980D67" w:rsidRPr="007F24B9" w:rsidRDefault="00072135" w:rsidP="00980D67">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w:t>
            </w:r>
          </w:p>
        </w:tc>
      </w:tr>
      <w:tr w:rsidR="00493F1F" w:rsidRPr="007F24B9" w14:paraId="252A239B" w14:textId="77777777" w:rsidTr="00261282">
        <w:trPr>
          <w:trHeight w:val="144"/>
        </w:trPr>
        <w:tc>
          <w:tcPr>
            <w:tcW w:w="1950" w:type="pct"/>
            <w:tcBorders>
              <w:top w:val="single" w:sz="12" w:space="0" w:color="auto"/>
              <w:left w:val="single" w:sz="18" w:space="0" w:color="auto"/>
              <w:bottom w:val="single" w:sz="12" w:space="0" w:color="auto"/>
              <w:right w:val="single" w:sz="12" w:space="0" w:color="auto"/>
            </w:tcBorders>
            <w:tcMar>
              <w:top w:w="30" w:type="dxa"/>
              <w:left w:w="45" w:type="dxa"/>
              <w:bottom w:w="30" w:type="dxa"/>
              <w:right w:w="45" w:type="dxa"/>
            </w:tcMar>
            <w:vAlign w:val="center"/>
          </w:tcPr>
          <w:p w14:paraId="558034F2" w14:textId="18E708DF" w:rsidR="00493F1F" w:rsidRPr="007F24B9" w:rsidRDefault="00493F1F" w:rsidP="009042DD">
            <w:pPr>
              <w:rPr>
                <w:rFonts w:ascii="Times New Roman" w:eastAsiaTheme="minorEastAsia" w:hAnsi="Times New Roman"/>
                <w:b/>
                <w:bCs/>
                <w:sz w:val="20"/>
                <w:lang w:eastAsia="ko-KR"/>
              </w:rPr>
            </w:pPr>
            <w:r w:rsidRPr="007F24B9">
              <w:rPr>
                <w:rFonts w:ascii="Times New Roman" w:eastAsiaTheme="minorEastAsia" w:hAnsi="Times New Roman" w:hint="eastAsia"/>
                <w:b/>
                <w:bCs/>
                <w:sz w:val="20"/>
                <w:lang w:eastAsia="ko-KR"/>
              </w:rPr>
              <w:t>Constant</w:t>
            </w:r>
          </w:p>
        </w:tc>
        <w:tc>
          <w:tcPr>
            <w:tcW w:w="552" w:type="pct"/>
            <w:tcBorders>
              <w:top w:val="single" w:sz="12" w:space="0" w:color="auto"/>
              <w:left w:val="single" w:sz="12" w:space="0" w:color="auto"/>
              <w:bottom w:val="single" w:sz="12" w:space="0" w:color="auto"/>
              <w:right w:val="single" w:sz="8" w:space="0" w:color="auto"/>
            </w:tcBorders>
            <w:tcMar>
              <w:top w:w="30" w:type="dxa"/>
              <w:left w:w="45" w:type="dxa"/>
              <w:bottom w:w="30" w:type="dxa"/>
              <w:right w:w="45" w:type="dxa"/>
            </w:tcMar>
          </w:tcPr>
          <w:p w14:paraId="327C110A" w14:textId="32FAD849" w:rsidR="00493F1F" w:rsidRPr="007F24B9" w:rsidRDefault="00493F1F" w:rsidP="00F004F7">
            <w:pPr>
              <w:jc w:val="right"/>
              <w:rPr>
                <w:rFonts w:ascii="Times New Roman" w:eastAsiaTheme="minorEastAsia" w:hAnsi="Times New Roman"/>
                <w:b/>
                <w:bCs/>
                <w:sz w:val="20"/>
                <w:lang w:eastAsia="ko-KR"/>
              </w:rPr>
            </w:pPr>
            <w:r w:rsidRPr="007F24B9">
              <w:rPr>
                <w:rFonts w:ascii="Times New Roman" w:eastAsiaTheme="minorEastAsia" w:hAnsi="Times New Roman" w:hint="eastAsia"/>
                <w:b/>
                <w:bCs/>
                <w:sz w:val="20"/>
                <w:lang w:eastAsia="ko-KR"/>
              </w:rPr>
              <w:t>--</w:t>
            </w:r>
          </w:p>
        </w:tc>
        <w:tc>
          <w:tcPr>
            <w:tcW w:w="441" w:type="pct"/>
            <w:tcBorders>
              <w:top w:val="single" w:sz="12" w:space="0" w:color="auto"/>
              <w:left w:val="single" w:sz="8" w:space="0" w:color="auto"/>
              <w:bottom w:val="single" w:sz="12" w:space="0" w:color="auto"/>
              <w:right w:val="single" w:sz="12" w:space="0" w:color="auto"/>
            </w:tcBorders>
          </w:tcPr>
          <w:p w14:paraId="5CA68067" w14:textId="40154CC3" w:rsidR="00493F1F" w:rsidRPr="007F24B9" w:rsidRDefault="00493F1F" w:rsidP="00F004F7">
            <w:pPr>
              <w:jc w:val="right"/>
              <w:rPr>
                <w:rFonts w:ascii="Times New Roman" w:eastAsiaTheme="minorEastAsia" w:hAnsi="Times New Roman"/>
                <w:b/>
                <w:bCs/>
                <w:sz w:val="20"/>
                <w:lang w:eastAsia="ko-KR"/>
              </w:rPr>
            </w:pPr>
            <w:r w:rsidRPr="007F24B9">
              <w:rPr>
                <w:rFonts w:ascii="Times New Roman" w:eastAsiaTheme="minorEastAsia" w:hAnsi="Times New Roman" w:hint="eastAsia"/>
                <w:b/>
                <w:bCs/>
                <w:sz w:val="20"/>
                <w:lang w:eastAsia="ko-KR"/>
              </w:rPr>
              <w:t>--</w:t>
            </w:r>
          </w:p>
        </w:tc>
        <w:tc>
          <w:tcPr>
            <w:tcW w:w="552" w:type="pct"/>
            <w:tcBorders>
              <w:top w:val="single" w:sz="12" w:space="0" w:color="auto"/>
              <w:left w:val="single" w:sz="12" w:space="0" w:color="auto"/>
              <w:bottom w:val="single" w:sz="12" w:space="0" w:color="auto"/>
              <w:right w:val="single" w:sz="8" w:space="0" w:color="auto"/>
            </w:tcBorders>
            <w:tcMar>
              <w:top w:w="30" w:type="dxa"/>
              <w:left w:w="45" w:type="dxa"/>
              <w:bottom w:w="30" w:type="dxa"/>
              <w:right w:w="45" w:type="dxa"/>
            </w:tcMar>
          </w:tcPr>
          <w:p w14:paraId="7A98CC1A" w14:textId="6BD06A99" w:rsidR="00493F1F" w:rsidRPr="007F24B9" w:rsidRDefault="007974D5" w:rsidP="00F004F7">
            <w:pPr>
              <w:jc w:val="right"/>
              <w:rPr>
                <w:rFonts w:ascii="Times New Roman" w:eastAsiaTheme="minorEastAsia" w:hAnsi="Times New Roman"/>
                <w:sz w:val="20"/>
                <w:lang w:eastAsia="ko-KR"/>
              </w:rPr>
            </w:pPr>
            <w:r w:rsidRPr="007F24B9">
              <w:rPr>
                <w:rFonts w:ascii="Times New Roman" w:eastAsiaTheme="minorEastAsia" w:hAnsi="Times New Roman"/>
                <w:sz w:val="20"/>
                <w:lang w:eastAsia="ko-KR"/>
              </w:rPr>
              <w:t>2.611</w:t>
            </w:r>
          </w:p>
        </w:tc>
        <w:tc>
          <w:tcPr>
            <w:tcW w:w="553" w:type="pct"/>
            <w:tcBorders>
              <w:top w:val="single" w:sz="12" w:space="0" w:color="auto"/>
              <w:left w:val="single" w:sz="8" w:space="0" w:color="auto"/>
              <w:bottom w:val="single" w:sz="12" w:space="0" w:color="auto"/>
              <w:right w:val="single" w:sz="12" w:space="0" w:color="auto"/>
            </w:tcBorders>
          </w:tcPr>
          <w:p w14:paraId="52DAF5BC" w14:textId="4A3301C5" w:rsidR="00493F1F" w:rsidRPr="007F24B9" w:rsidRDefault="007974D5" w:rsidP="00F004F7">
            <w:pPr>
              <w:jc w:val="right"/>
              <w:rPr>
                <w:rFonts w:ascii="Times New Roman" w:eastAsiaTheme="minorEastAsia" w:hAnsi="Times New Roman"/>
                <w:sz w:val="20"/>
                <w:lang w:eastAsia="ko-KR"/>
              </w:rPr>
            </w:pPr>
            <w:r w:rsidRPr="007F24B9">
              <w:rPr>
                <w:rFonts w:ascii="Times New Roman" w:eastAsiaTheme="minorEastAsia" w:hAnsi="Times New Roman"/>
                <w:sz w:val="20"/>
                <w:lang w:eastAsia="ko-KR"/>
              </w:rPr>
              <w:t>37.89</w:t>
            </w:r>
          </w:p>
        </w:tc>
        <w:tc>
          <w:tcPr>
            <w:tcW w:w="477" w:type="pct"/>
            <w:tcBorders>
              <w:top w:val="single" w:sz="12" w:space="0" w:color="auto"/>
              <w:left w:val="single" w:sz="12" w:space="0" w:color="auto"/>
              <w:bottom w:val="single" w:sz="12" w:space="0" w:color="auto"/>
              <w:right w:val="single" w:sz="8" w:space="0" w:color="auto"/>
            </w:tcBorders>
          </w:tcPr>
          <w:p w14:paraId="3512038A" w14:textId="31FF738D" w:rsidR="00493F1F" w:rsidRPr="007F24B9" w:rsidRDefault="00493F1F" w:rsidP="00F004F7">
            <w:pPr>
              <w:jc w:val="right"/>
              <w:rPr>
                <w:rFonts w:ascii="Times New Roman" w:eastAsiaTheme="minorEastAsia" w:hAnsi="Times New Roman"/>
                <w:b/>
                <w:bCs/>
                <w:sz w:val="20"/>
                <w:lang w:eastAsia="ko-KR"/>
              </w:rPr>
            </w:pPr>
            <w:r w:rsidRPr="007F24B9">
              <w:rPr>
                <w:rFonts w:ascii="Times New Roman" w:eastAsiaTheme="minorEastAsia" w:hAnsi="Times New Roman" w:hint="eastAsia"/>
                <w:b/>
                <w:bCs/>
                <w:sz w:val="20"/>
                <w:lang w:eastAsia="ko-KR"/>
              </w:rPr>
              <w:t>--</w:t>
            </w:r>
          </w:p>
        </w:tc>
        <w:tc>
          <w:tcPr>
            <w:tcW w:w="475" w:type="pct"/>
            <w:tcBorders>
              <w:top w:val="single" w:sz="12" w:space="0" w:color="auto"/>
              <w:left w:val="single" w:sz="8" w:space="0" w:color="auto"/>
              <w:bottom w:val="single" w:sz="12" w:space="0" w:color="auto"/>
              <w:right w:val="single" w:sz="18" w:space="0" w:color="auto"/>
            </w:tcBorders>
          </w:tcPr>
          <w:p w14:paraId="0F1EA199" w14:textId="0210300C" w:rsidR="00493F1F" w:rsidRPr="007F24B9" w:rsidRDefault="00493F1F" w:rsidP="00F004F7">
            <w:pPr>
              <w:jc w:val="right"/>
              <w:rPr>
                <w:rFonts w:ascii="Times New Roman" w:eastAsiaTheme="minorEastAsia" w:hAnsi="Times New Roman"/>
                <w:b/>
                <w:bCs/>
                <w:sz w:val="20"/>
                <w:lang w:eastAsia="ko-KR"/>
              </w:rPr>
            </w:pPr>
            <w:r w:rsidRPr="007F24B9">
              <w:rPr>
                <w:rFonts w:ascii="Times New Roman" w:eastAsiaTheme="minorEastAsia" w:hAnsi="Times New Roman" w:hint="eastAsia"/>
                <w:b/>
                <w:bCs/>
                <w:sz w:val="20"/>
                <w:lang w:eastAsia="ko-KR"/>
              </w:rPr>
              <w:t>--</w:t>
            </w:r>
          </w:p>
        </w:tc>
      </w:tr>
      <w:tr w:rsidR="009042DD" w:rsidRPr="007F24B9" w14:paraId="23FA0A80" w14:textId="77777777" w:rsidTr="00261282">
        <w:trPr>
          <w:trHeight w:val="144"/>
        </w:trPr>
        <w:tc>
          <w:tcPr>
            <w:tcW w:w="1950" w:type="pct"/>
            <w:tcBorders>
              <w:top w:val="single" w:sz="12" w:space="0" w:color="auto"/>
              <w:left w:val="single" w:sz="18" w:space="0" w:color="auto"/>
              <w:bottom w:val="single" w:sz="12" w:space="0" w:color="auto"/>
              <w:right w:val="single" w:sz="12" w:space="0" w:color="auto"/>
            </w:tcBorders>
            <w:tcMar>
              <w:top w:w="30" w:type="dxa"/>
              <w:left w:w="45" w:type="dxa"/>
              <w:bottom w:w="30" w:type="dxa"/>
              <w:right w:w="45" w:type="dxa"/>
            </w:tcMar>
            <w:vAlign w:val="center"/>
          </w:tcPr>
          <w:p w14:paraId="70EDA048" w14:textId="6BDE3CC9" w:rsidR="009042DD" w:rsidRPr="007F24B9" w:rsidRDefault="009042DD" w:rsidP="009042DD">
            <w:pPr>
              <w:rPr>
                <w:rFonts w:ascii="Times New Roman" w:eastAsiaTheme="minorEastAsia" w:hAnsi="Times New Roman"/>
                <w:b/>
                <w:bCs/>
                <w:sz w:val="20"/>
                <w:lang w:eastAsia="ko-KR"/>
              </w:rPr>
            </w:pPr>
            <w:r w:rsidRPr="007F24B9">
              <w:rPr>
                <w:rFonts w:ascii="Times New Roman" w:eastAsiaTheme="minorEastAsia" w:hAnsi="Times New Roman"/>
                <w:b/>
                <w:bCs/>
                <w:sz w:val="20"/>
                <w:lang w:eastAsia="ko-KR"/>
              </w:rPr>
              <w:t>Thresholds</w:t>
            </w:r>
          </w:p>
        </w:tc>
        <w:tc>
          <w:tcPr>
            <w:tcW w:w="552" w:type="pct"/>
            <w:tcBorders>
              <w:top w:val="single" w:sz="12" w:space="0" w:color="auto"/>
              <w:left w:val="single" w:sz="12" w:space="0" w:color="auto"/>
              <w:bottom w:val="single" w:sz="12" w:space="0" w:color="auto"/>
              <w:right w:val="single" w:sz="8" w:space="0" w:color="auto"/>
            </w:tcBorders>
            <w:tcMar>
              <w:top w:w="30" w:type="dxa"/>
              <w:left w:w="45" w:type="dxa"/>
              <w:bottom w:w="30" w:type="dxa"/>
              <w:right w:w="45" w:type="dxa"/>
            </w:tcMar>
          </w:tcPr>
          <w:p w14:paraId="672AE6FC" w14:textId="60198943" w:rsidR="009042DD" w:rsidRPr="007F24B9" w:rsidDel="009042DD" w:rsidRDefault="009042DD" w:rsidP="002A3447">
            <w:pPr>
              <w:jc w:val="center"/>
              <w:rPr>
                <w:rFonts w:ascii="Times New Roman" w:eastAsiaTheme="minorEastAsia" w:hAnsi="Times New Roman"/>
                <w:b/>
                <w:bCs/>
                <w:sz w:val="20"/>
                <w:lang w:eastAsia="ko-KR"/>
              </w:rPr>
            </w:pPr>
            <w:r w:rsidRPr="007F24B9">
              <w:rPr>
                <w:rFonts w:ascii="Times New Roman" w:eastAsia="Times New Roman" w:hAnsi="Times New Roman"/>
                <w:b/>
                <w:bCs/>
                <w:sz w:val="20"/>
              </w:rPr>
              <w:t>Coef.</w:t>
            </w:r>
          </w:p>
        </w:tc>
        <w:tc>
          <w:tcPr>
            <w:tcW w:w="441" w:type="pct"/>
            <w:tcBorders>
              <w:top w:val="single" w:sz="12" w:space="0" w:color="auto"/>
              <w:left w:val="single" w:sz="8" w:space="0" w:color="auto"/>
              <w:bottom w:val="single" w:sz="12" w:space="0" w:color="auto"/>
              <w:right w:val="single" w:sz="12" w:space="0" w:color="auto"/>
            </w:tcBorders>
          </w:tcPr>
          <w:p w14:paraId="73EC430F" w14:textId="4EB3A894" w:rsidR="009042DD" w:rsidRPr="007F24B9" w:rsidDel="009042DD" w:rsidRDefault="009042DD" w:rsidP="002A3447">
            <w:pPr>
              <w:jc w:val="center"/>
              <w:rPr>
                <w:rFonts w:ascii="Times New Roman" w:eastAsiaTheme="minorEastAsia" w:hAnsi="Times New Roman"/>
                <w:b/>
                <w:bCs/>
                <w:sz w:val="20"/>
                <w:lang w:eastAsia="ko-KR"/>
              </w:rPr>
            </w:pPr>
            <w:r w:rsidRPr="007F24B9">
              <w:rPr>
                <w:rFonts w:ascii="Times New Roman" w:eastAsia="Times New Roman" w:hAnsi="Times New Roman"/>
                <w:b/>
                <w:bCs/>
                <w:sz w:val="20"/>
              </w:rPr>
              <w:t>t-stat</w:t>
            </w:r>
          </w:p>
        </w:tc>
        <w:tc>
          <w:tcPr>
            <w:tcW w:w="552" w:type="pct"/>
            <w:tcBorders>
              <w:top w:val="single" w:sz="12" w:space="0" w:color="auto"/>
              <w:left w:val="single" w:sz="12" w:space="0" w:color="auto"/>
              <w:bottom w:val="single" w:sz="12" w:space="0" w:color="auto"/>
              <w:right w:val="single" w:sz="8" w:space="0" w:color="auto"/>
            </w:tcBorders>
            <w:tcMar>
              <w:top w:w="30" w:type="dxa"/>
              <w:left w:w="45" w:type="dxa"/>
              <w:bottom w:w="30" w:type="dxa"/>
              <w:right w:w="45" w:type="dxa"/>
            </w:tcMar>
          </w:tcPr>
          <w:p w14:paraId="49D59DC5" w14:textId="5D571C6A" w:rsidR="009042DD" w:rsidRPr="007F24B9" w:rsidRDefault="009042DD" w:rsidP="002A3447">
            <w:pPr>
              <w:jc w:val="center"/>
              <w:rPr>
                <w:rFonts w:ascii="Times New Roman" w:eastAsiaTheme="minorEastAsia" w:hAnsi="Times New Roman"/>
                <w:b/>
                <w:bCs/>
                <w:sz w:val="20"/>
                <w:lang w:eastAsia="ko-KR"/>
              </w:rPr>
            </w:pPr>
            <w:r w:rsidRPr="007F24B9">
              <w:rPr>
                <w:rFonts w:ascii="Times New Roman" w:eastAsia="Times New Roman" w:hAnsi="Times New Roman"/>
                <w:b/>
                <w:bCs/>
                <w:sz w:val="20"/>
              </w:rPr>
              <w:t>Coef.</w:t>
            </w:r>
          </w:p>
        </w:tc>
        <w:tc>
          <w:tcPr>
            <w:tcW w:w="553" w:type="pct"/>
            <w:tcBorders>
              <w:top w:val="single" w:sz="12" w:space="0" w:color="auto"/>
              <w:left w:val="single" w:sz="8" w:space="0" w:color="auto"/>
              <w:bottom w:val="single" w:sz="12" w:space="0" w:color="auto"/>
              <w:right w:val="single" w:sz="12" w:space="0" w:color="auto"/>
            </w:tcBorders>
          </w:tcPr>
          <w:p w14:paraId="23126A35" w14:textId="71EA08DD" w:rsidR="009042DD" w:rsidRPr="007F24B9" w:rsidRDefault="009042DD" w:rsidP="002A3447">
            <w:pPr>
              <w:jc w:val="center"/>
              <w:rPr>
                <w:rFonts w:ascii="Times New Roman" w:eastAsiaTheme="minorEastAsia" w:hAnsi="Times New Roman"/>
                <w:b/>
                <w:bCs/>
                <w:sz w:val="20"/>
                <w:lang w:eastAsia="ko-KR"/>
              </w:rPr>
            </w:pPr>
            <w:r w:rsidRPr="007F24B9">
              <w:rPr>
                <w:rFonts w:ascii="Times New Roman" w:eastAsia="Times New Roman" w:hAnsi="Times New Roman"/>
                <w:b/>
                <w:bCs/>
                <w:sz w:val="20"/>
              </w:rPr>
              <w:t>t-stat</w:t>
            </w:r>
          </w:p>
        </w:tc>
        <w:tc>
          <w:tcPr>
            <w:tcW w:w="477" w:type="pct"/>
            <w:tcBorders>
              <w:top w:val="single" w:sz="12" w:space="0" w:color="auto"/>
              <w:left w:val="single" w:sz="12" w:space="0" w:color="auto"/>
              <w:bottom w:val="single" w:sz="12" w:space="0" w:color="auto"/>
              <w:right w:val="single" w:sz="8" w:space="0" w:color="auto"/>
            </w:tcBorders>
          </w:tcPr>
          <w:p w14:paraId="14812C5A" w14:textId="3A62F7E1" w:rsidR="009042DD" w:rsidRPr="007F24B9" w:rsidDel="009042DD" w:rsidRDefault="009042DD" w:rsidP="002A3447">
            <w:pPr>
              <w:jc w:val="center"/>
              <w:rPr>
                <w:rFonts w:ascii="Times New Roman" w:eastAsiaTheme="minorEastAsia" w:hAnsi="Times New Roman"/>
                <w:b/>
                <w:bCs/>
                <w:sz w:val="20"/>
                <w:lang w:eastAsia="ko-KR"/>
              </w:rPr>
            </w:pPr>
            <w:r w:rsidRPr="007F24B9">
              <w:rPr>
                <w:rFonts w:ascii="Times New Roman" w:eastAsia="Times New Roman" w:hAnsi="Times New Roman"/>
                <w:b/>
                <w:bCs/>
                <w:sz w:val="20"/>
              </w:rPr>
              <w:t>Coef.</w:t>
            </w:r>
          </w:p>
        </w:tc>
        <w:tc>
          <w:tcPr>
            <w:tcW w:w="475" w:type="pct"/>
            <w:tcBorders>
              <w:top w:val="single" w:sz="12" w:space="0" w:color="auto"/>
              <w:left w:val="single" w:sz="8" w:space="0" w:color="auto"/>
              <w:bottom w:val="single" w:sz="12" w:space="0" w:color="auto"/>
              <w:right w:val="single" w:sz="18" w:space="0" w:color="auto"/>
            </w:tcBorders>
          </w:tcPr>
          <w:p w14:paraId="3A8F3BE8" w14:textId="01CC344E" w:rsidR="009042DD" w:rsidRPr="007F24B9" w:rsidDel="009042DD" w:rsidRDefault="009042DD" w:rsidP="002A3447">
            <w:pPr>
              <w:jc w:val="center"/>
              <w:rPr>
                <w:rFonts w:ascii="Times New Roman" w:eastAsiaTheme="minorEastAsia" w:hAnsi="Times New Roman"/>
                <w:b/>
                <w:bCs/>
                <w:sz w:val="20"/>
                <w:lang w:eastAsia="ko-KR"/>
              </w:rPr>
            </w:pPr>
            <w:r w:rsidRPr="007F24B9">
              <w:rPr>
                <w:rFonts w:ascii="Times New Roman" w:eastAsia="Times New Roman" w:hAnsi="Times New Roman"/>
                <w:b/>
                <w:bCs/>
                <w:sz w:val="20"/>
              </w:rPr>
              <w:t>t-stat</w:t>
            </w:r>
          </w:p>
        </w:tc>
      </w:tr>
      <w:tr w:rsidR="009042DD" w:rsidRPr="007F24B9" w14:paraId="180E9C9A" w14:textId="77777777" w:rsidTr="00261282">
        <w:trPr>
          <w:trHeight w:val="144"/>
        </w:trPr>
        <w:tc>
          <w:tcPr>
            <w:tcW w:w="1950" w:type="pct"/>
            <w:tcBorders>
              <w:top w:val="single" w:sz="12" w:space="0" w:color="auto"/>
              <w:left w:val="single" w:sz="18" w:space="0" w:color="auto"/>
              <w:bottom w:val="single" w:sz="12" w:space="0" w:color="auto"/>
              <w:right w:val="single" w:sz="12" w:space="0" w:color="auto"/>
            </w:tcBorders>
            <w:tcMar>
              <w:top w:w="30" w:type="dxa"/>
              <w:left w:w="45" w:type="dxa"/>
              <w:bottom w:w="30" w:type="dxa"/>
              <w:right w:w="45" w:type="dxa"/>
            </w:tcMar>
            <w:vAlign w:val="center"/>
          </w:tcPr>
          <w:p w14:paraId="251F93D0" w14:textId="0C7AC68B" w:rsidR="009042DD" w:rsidRPr="007F24B9" w:rsidRDefault="009042DD" w:rsidP="002A3447">
            <w:pPr>
              <w:ind w:left="144"/>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1|2</w:t>
            </w:r>
          </w:p>
        </w:tc>
        <w:tc>
          <w:tcPr>
            <w:tcW w:w="552" w:type="pct"/>
            <w:tcBorders>
              <w:top w:val="single" w:sz="12" w:space="0" w:color="auto"/>
              <w:left w:val="single" w:sz="12" w:space="0" w:color="auto"/>
              <w:bottom w:val="single" w:sz="12" w:space="0" w:color="auto"/>
              <w:right w:val="single" w:sz="8" w:space="0" w:color="auto"/>
            </w:tcBorders>
            <w:tcMar>
              <w:top w:w="30" w:type="dxa"/>
              <w:left w:w="45" w:type="dxa"/>
              <w:bottom w:w="30" w:type="dxa"/>
              <w:right w:w="45" w:type="dxa"/>
            </w:tcMar>
          </w:tcPr>
          <w:p w14:paraId="47764F8E" w14:textId="27D13597" w:rsidR="009042DD" w:rsidRPr="007F24B9" w:rsidDel="009042DD" w:rsidRDefault="00FD6221" w:rsidP="009042DD">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-0.68</w:t>
            </w:r>
            <w:r w:rsidR="007C456C" w:rsidRPr="007F24B9">
              <w:rPr>
                <w:rFonts w:ascii="Times New Roman" w:eastAsiaTheme="minorEastAsia" w:hAnsi="Times New Roman" w:hint="eastAsia"/>
                <w:sz w:val="20"/>
                <w:lang w:eastAsia="ko-KR"/>
              </w:rPr>
              <w:t>2</w:t>
            </w:r>
          </w:p>
        </w:tc>
        <w:tc>
          <w:tcPr>
            <w:tcW w:w="441" w:type="pct"/>
            <w:tcBorders>
              <w:top w:val="single" w:sz="12" w:space="0" w:color="auto"/>
              <w:left w:val="single" w:sz="8" w:space="0" w:color="auto"/>
              <w:bottom w:val="single" w:sz="12" w:space="0" w:color="auto"/>
              <w:right w:val="single" w:sz="12" w:space="0" w:color="auto"/>
            </w:tcBorders>
          </w:tcPr>
          <w:p w14:paraId="20D6CEE2" w14:textId="68C48E25" w:rsidR="009042DD" w:rsidRPr="007F24B9" w:rsidDel="009042DD" w:rsidRDefault="007C456C" w:rsidP="009042DD">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-9.98</w:t>
            </w:r>
          </w:p>
        </w:tc>
        <w:tc>
          <w:tcPr>
            <w:tcW w:w="552" w:type="pct"/>
            <w:tcBorders>
              <w:top w:val="single" w:sz="12" w:space="0" w:color="auto"/>
              <w:left w:val="single" w:sz="12" w:space="0" w:color="auto"/>
              <w:bottom w:val="single" w:sz="12" w:space="0" w:color="auto"/>
              <w:right w:val="single" w:sz="8" w:space="0" w:color="auto"/>
            </w:tcBorders>
            <w:tcMar>
              <w:top w:w="30" w:type="dxa"/>
              <w:left w:w="45" w:type="dxa"/>
              <w:bottom w:w="30" w:type="dxa"/>
              <w:right w:w="45" w:type="dxa"/>
            </w:tcMar>
          </w:tcPr>
          <w:p w14:paraId="6BCB74D6" w14:textId="2E38B2DD" w:rsidR="009042DD" w:rsidRPr="007F24B9" w:rsidRDefault="00613B7F" w:rsidP="009042DD">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2.303</w:t>
            </w:r>
            <w:r w:rsidR="003D4E9D" w:rsidRPr="007F24B9">
              <w:rPr>
                <w:rFonts w:ascii="Times New Roman" w:eastAsiaTheme="minorEastAsia" w:hAnsi="Times New Roman" w:hint="eastAsia"/>
                <w:sz w:val="20"/>
                <w:lang w:eastAsia="ko-KR"/>
              </w:rPr>
              <w:t>(ln10)</w:t>
            </w:r>
          </w:p>
        </w:tc>
        <w:tc>
          <w:tcPr>
            <w:tcW w:w="553" w:type="pct"/>
            <w:tcBorders>
              <w:top w:val="single" w:sz="12" w:space="0" w:color="auto"/>
              <w:left w:val="single" w:sz="8" w:space="0" w:color="auto"/>
              <w:bottom w:val="single" w:sz="12" w:space="0" w:color="auto"/>
              <w:right w:val="single" w:sz="12" w:space="0" w:color="auto"/>
            </w:tcBorders>
          </w:tcPr>
          <w:p w14:paraId="774E338B" w14:textId="1BA6511A" w:rsidR="009042DD" w:rsidRPr="007F24B9" w:rsidRDefault="00FD6221" w:rsidP="009042DD">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w:t>
            </w:r>
          </w:p>
        </w:tc>
        <w:tc>
          <w:tcPr>
            <w:tcW w:w="477" w:type="pct"/>
            <w:tcBorders>
              <w:top w:val="single" w:sz="12" w:space="0" w:color="auto"/>
              <w:left w:val="single" w:sz="12" w:space="0" w:color="auto"/>
              <w:bottom w:val="single" w:sz="12" w:space="0" w:color="auto"/>
              <w:right w:val="single" w:sz="8" w:space="0" w:color="auto"/>
            </w:tcBorders>
          </w:tcPr>
          <w:p w14:paraId="0E1C5ACD" w14:textId="2F00801E" w:rsidR="009042DD" w:rsidRPr="007F24B9" w:rsidDel="009042DD" w:rsidRDefault="0052329E" w:rsidP="009042DD">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-1.44</w:t>
            </w:r>
            <w:r w:rsidR="007C456C" w:rsidRPr="007F24B9">
              <w:rPr>
                <w:rFonts w:ascii="Times New Roman" w:eastAsiaTheme="minorEastAsia" w:hAnsi="Times New Roman" w:hint="eastAsia"/>
                <w:sz w:val="20"/>
                <w:lang w:eastAsia="ko-KR"/>
              </w:rPr>
              <w:t>4</w:t>
            </w:r>
          </w:p>
        </w:tc>
        <w:tc>
          <w:tcPr>
            <w:tcW w:w="475" w:type="pct"/>
            <w:tcBorders>
              <w:top w:val="single" w:sz="12" w:space="0" w:color="auto"/>
              <w:left w:val="single" w:sz="8" w:space="0" w:color="auto"/>
              <w:bottom w:val="single" w:sz="12" w:space="0" w:color="auto"/>
              <w:right w:val="single" w:sz="18" w:space="0" w:color="auto"/>
            </w:tcBorders>
          </w:tcPr>
          <w:p w14:paraId="70D43553" w14:textId="68645368" w:rsidR="009042DD" w:rsidRPr="007F24B9" w:rsidDel="009042DD" w:rsidRDefault="0052329E" w:rsidP="009042DD">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-23.</w:t>
            </w:r>
            <w:r w:rsidR="007C456C" w:rsidRPr="007F24B9">
              <w:rPr>
                <w:rFonts w:ascii="Times New Roman" w:eastAsiaTheme="minorEastAsia" w:hAnsi="Times New Roman" w:hint="eastAsia"/>
                <w:sz w:val="20"/>
                <w:lang w:eastAsia="ko-KR"/>
              </w:rPr>
              <w:t>30</w:t>
            </w:r>
          </w:p>
        </w:tc>
      </w:tr>
      <w:tr w:rsidR="009042DD" w:rsidRPr="007F24B9" w14:paraId="784994C9" w14:textId="77777777" w:rsidTr="00261282">
        <w:trPr>
          <w:trHeight w:val="144"/>
        </w:trPr>
        <w:tc>
          <w:tcPr>
            <w:tcW w:w="1950" w:type="pct"/>
            <w:tcBorders>
              <w:top w:val="dashSmallGap" w:sz="4" w:space="0" w:color="auto"/>
              <w:left w:val="single" w:sz="18" w:space="0" w:color="auto"/>
              <w:bottom w:val="single" w:sz="12" w:space="0" w:color="auto"/>
              <w:right w:val="single" w:sz="12" w:space="0" w:color="auto"/>
            </w:tcBorders>
            <w:tcMar>
              <w:top w:w="30" w:type="dxa"/>
              <w:left w:w="45" w:type="dxa"/>
              <w:bottom w:w="30" w:type="dxa"/>
              <w:right w:w="45" w:type="dxa"/>
            </w:tcMar>
            <w:vAlign w:val="center"/>
          </w:tcPr>
          <w:p w14:paraId="5C4FFD6C" w14:textId="5D1F8D33" w:rsidR="009042DD" w:rsidRPr="007F24B9" w:rsidRDefault="009042DD" w:rsidP="002A3447">
            <w:pPr>
              <w:ind w:left="144"/>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2|3</w:t>
            </w:r>
          </w:p>
        </w:tc>
        <w:tc>
          <w:tcPr>
            <w:tcW w:w="552" w:type="pct"/>
            <w:tcBorders>
              <w:top w:val="dashSmallGap" w:sz="4" w:space="0" w:color="auto"/>
              <w:left w:val="single" w:sz="12" w:space="0" w:color="auto"/>
              <w:bottom w:val="single" w:sz="12" w:space="0" w:color="auto"/>
              <w:right w:val="single" w:sz="8" w:space="0" w:color="auto"/>
            </w:tcBorders>
            <w:tcMar>
              <w:top w:w="30" w:type="dxa"/>
              <w:left w:w="45" w:type="dxa"/>
              <w:bottom w:w="30" w:type="dxa"/>
              <w:right w:w="45" w:type="dxa"/>
            </w:tcMar>
          </w:tcPr>
          <w:p w14:paraId="03BA0D93" w14:textId="7EFBE60D" w:rsidR="009042DD" w:rsidRPr="007F24B9" w:rsidDel="009042DD" w:rsidRDefault="00FD6221" w:rsidP="009042DD">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-0.0</w:t>
            </w:r>
            <w:r w:rsidR="007C456C" w:rsidRPr="007F24B9">
              <w:rPr>
                <w:rFonts w:ascii="Times New Roman" w:eastAsiaTheme="minorEastAsia" w:hAnsi="Times New Roman" w:hint="eastAsia"/>
                <w:sz w:val="20"/>
                <w:lang w:eastAsia="ko-KR"/>
              </w:rPr>
              <w:t>76</w:t>
            </w:r>
          </w:p>
        </w:tc>
        <w:tc>
          <w:tcPr>
            <w:tcW w:w="441" w:type="pct"/>
            <w:tcBorders>
              <w:top w:val="dashSmallGap" w:sz="4" w:space="0" w:color="auto"/>
              <w:left w:val="single" w:sz="8" w:space="0" w:color="auto"/>
              <w:bottom w:val="single" w:sz="12" w:space="0" w:color="auto"/>
              <w:right w:val="single" w:sz="12" w:space="0" w:color="auto"/>
            </w:tcBorders>
          </w:tcPr>
          <w:p w14:paraId="13A7851D" w14:textId="3BBCE85C" w:rsidR="009042DD" w:rsidRPr="007F24B9" w:rsidDel="009042DD" w:rsidRDefault="00FD6221" w:rsidP="009042DD">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-1.</w:t>
            </w:r>
            <w:r w:rsidR="007C456C" w:rsidRPr="007F24B9">
              <w:rPr>
                <w:rFonts w:ascii="Times New Roman" w:eastAsiaTheme="minorEastAsia" w:hAnsi="Times New Roman" w:hint="eastAsia"/>
                <w:sz w:val="20"/>
                <w:lang w:eastAsia="ko-KR"/>
              </w:rPr>
              <w:t>35</w:t>
            </w:r>
          </w:p>
        </w:tc>
        <w:tc>
          <w:tcPr>
            <w:tcW w:w="552" w:type="pct"/>
            <w:tcBorders>
              <w:top w:val="dashSmallGap" w:sz="4" w:space="0" w:color="auto"/>
              <w:left w:val="single" w:sz="12" w:space="0" w:color="auto"/>
              <w:bottom w:val="single" w:sz="12" w:space="0" w:color="auto"/>
              <w:right w:val="single" w:sz="8" w:space="0" w:color="auto"/>
            </w:tcBorders>
            <w:tcMar>
              <w:top w:w="30" w:type="dxa"/>
              <w:left w:w="45" w:type="dxa"/>
              <w:bottom w:w="30" w:type="dxa"/>
              <w:right w:w="45" w:type="dxa"/>
            </w:tcMar>
          </w:tcPr>
          <w:p w14:paraId="1CAA72AB" w14:textId="248AA9B9" w:rsidR="009042DD" w:rsidRPr="007F24B9" w:rsidRDefault="00613B7F" w:rsidP="00613B7F">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3.401</w:t>
            </w:r>
            <w:r w:rsidR="003D4E9D" w:rsidRPr="007F24B9">
              <w:rPr>
                <w:rFonts w:ascii="Times New Roman" w:eastAsiaTheme="minorEastAsia" w:hAnsi="Times New Roman" w:hint="eastAsia"/>
                <w:sz w:val="20"/>
                <w:lang w:eastAsia="ko-KR"/>
              </w:rPr>
              <w:t>(ln30)</w:t>
            </w:r>
          </w:p>
        </w:tc>
        <w:tc>
          <w:tcPr>
            <w:tcW w:w="553" w:type="pct"/>
            <w:tcBorders>
              <w:top w:val="dashSmallGap" w:sz="4" w:space="0" w:color="auto"/>
              <w:left w:val="single" w:sz="8" w:space="0" w:color="auto"/>
              <w:bottom w:val="single" w:sz="12" w:space="0" w:color="auto"/>
              <w:right w:val="single" w:sz="12" w:space="0" w:color="auto"/>
            </w:tcBorders>
          </w:tcPr>
          <w:p w14:paraId="51FDC863" w14:textId="57072AF0" w:rsidR="009042DD" w:rsidRPr="007F24B9" w:rsidRDefault="00FD6221" w:rsidP="009042DD">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w:t>
            </w:r>
          </w:p>
        </w:tc>
        <w:tc>
          <w:tcPr>
            <w:tcW w:w="477" w:type="pct"/>
            <w:tcBorders>
              <w:top w:val="dashSmallGap" w:sz="4" w:space="0" w:color="auto"/>
              <w:left w:val="single" w:sz="12" w:space="0" w:color="auto"/>
              <w:bottom w:val="single" w:sz="12" w:space="0" w:color="auto"/>
              <w:right w:val="single" w:sz="8" w:space="0" w:color="auto"/>
            </w:tcBorders>
          </w:tcPr>
          <w:p w14:paraId="0FFD55A2" w14:textId="387873E8" w:rsidR="009042DD" w:rsidRPr="007F24B9" w:rsidDel="009042DD" w:rsidRDefault="0052329E" w:rsidP="009042DD">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-0.51</w:t>
            </w:r>
            <w:r w:rsidR="007C456C" w:rsidRPr="007F24B9">
              <w:rPr>
                <w:rFonts w:ascii="Times New Roman" w:eastAsiaTheme="minorEastAsia" w:hAnsi="Times New Roman" w:hint="eastAsia"/>
                <w:sz w:val="20"/>
                <w:lang w:eastAsia="ko-KR"/>
              </w:rPr>
              <w:t>4</w:t>
            </w:r>
          </w:p>
        </w:tc>
        <w:tc>
          <w:tcPr>
            <w:tcW w:w="475" w:type="pct"/>
            <w:tcBorders>
              <w:top w:val="dashSmallGap" w:sz="4" w:space="0" w:color="auto"/>
              <w:left w:val="single" w:sz="8" w:space="0" w:color="auto"/>
              <w:bottom w:val="single" w:sz="12" w:space="0" w:color="auto"/>
              <w:right w:val="single" w:sz="18" w:space="0" w:color="auto"/>
            </w:tcBorders>
          </w:tcPr>
          <w:p w14:paraId="04CAEF43" w14:textId="12A5D046" w:rsidR="009042DD" w:rsidRPr="007F24B9" w:rsidDel="009042DD" w:rsidRDefault="0052329E" w:rsidP="009042DD">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-10.</w:t>
            </w:r>
            <w:r w:rsidR="007C456C" w:rsidRPr="007F24B9">
              <w:rPr>
                <w:rFonts w:ascii="Times New Roman" w:eastAsiaTheme="minorEastAsia" w:hAnsi="Times New Roman" w:hint="eastAsia"/>
                <w:sz w:val="20"/>
                <w:lang w:eastAsia="ko-KR"/>
              </w:rPr>
              <w:t>26</w:t>
            </w:r>
          </w:p>
        </w:tc>
      </w:tr>
      <w:tr w:rsidR="009042DD" w:rsidRPr="007F24B9" w14:paraId="4BF41481" w14:textId="77777777" w:rsidTr="00261282">
        <w:trPr>
          <w:trHeight w:val="144"/>
        </w:trPr>
        <w:tc>
          <w:tcPr>
            <w:tcW w:w="1950" w:type="pct"/>
            <w:tcBorders>
              <w:top w:val="dashSmallGap" w:sz="4" w:space="0" w:color="auto"/>
              <w:left w:val="single" w:sz="18" w:space="0" w:color="auto"/>
              <w:bottom w:val="single" w:sz="12" w:space="0" w:color="auto"/>
              <w:right w:val="single" w:sz="12" w:space="0" w:color="auto"/>
            </w:tcBorders>
            <w:tcMar>
              <w:top w:w="30" w:type="dxa"/>
              <w:left w:w="45" w:type="dxa"/>
              <w:bottom w:w="30" w:type="dxa"/>
              <w:right w:w="45" w:type="dxa"/>
            </w:tcMar>
            <w:vAlign w:val="center"/>
          </w:tcPr>
          <w:p w14:paraId="5BDB889F" w14:textId="38924FA2" w:rsidR="009042DD" w:rsidRPr="007F24B9" w:rsidRDefault="009042DD" w:rsidP="002A3447">
            <w:pPr>
              <w:ind w:left="144"/>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3|4</w:t>
            </w:r>
          </w:p>
        </w:tc>
        <w:tc>
          <w:tcPr>
            <w:tcW w:w="552" w:type="pct"/>
            <w:tcBorders>
              <w:top w:val="dashSmallGap" w:sz="4" w:space="0" w:color="auto"/>
              <w:left w:val="single" w:sz="12" w:space="0" w:color="auto"/>
              <w:bottom w:val="single" w:sz="12" w:space="0" w:color="auto"/>
              <w:right w:val="single" w:sz="8" w:space="0" w:color="auto"/>
            </w:tcBorders>
            <w:tcMar>
              <w:top w:w="30" w:type="dxa"/>
              <w:left w:w="45" w:type="dxa"/>
              <w:bottom w:w="30" w:type="dxa"/>
              <w:right w:w="45" w:type="dxa"/>
            </w:tcMar>
          </w:tcPr>
          <w:p w14:paraId="10151D79" w14:textId="0FA5AE8A" w:rsidR="009042DD" w:rsidRPr="007F24B9" w:rsidDel="009042DD" w:rsidRDefault="0052329E" w:rsidP="009042DD">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0.57</w:t>
            </w:r>
            <w:r w:rsidR="007C456C" w:rsidRPr="007F24B9">
              <w:rPr>
                <w:rFonts w:ascii="Times New Roman" w:eastAsiaTheme="minorEastAsia" w:hAnsi="Times New Roman" w:hint="eastAsia"/>
                <w:sz w:val="20"/>
                <w:lang w:eastAsia="ko-KR"/>
              </w:rPr>
              <w:t>5</w:t>
            </w:r>
          </w:p>
        </w:tc>
        <w:tc>
          <w:tcPr>
            <w:tcW w:w="441" w:type="pct"/>
            <w:tcBorders>
              <w:top w:val="dashSmallGap" w:sz="4" w:space="0" w:color="auto"/>
              <w:left w:val="single" w:sz="8" w:space="0" w:color="auto"/>
              <w:bottom w:val="single" w:sz="12" w:space="0" w:color="auto"/>
              <w:right w:val="single" w:sz="12" w:space="0" w:color="auto"/>
            </w:tcBorders>
          </w:tcPr>
          <w:p w14:paraId="1518590A" w14:textId="09F55638" w:rsidR="009042DD" w:rsidRPr="007F24B9" w:rsidDel="009042DD" w:rsidRDefault="0052329E" w:rsidP="009042DD">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10.2</w:t>
            </w:r>
            <w:r w:rsidR="007C456C" w:rsidRPr="007F24B9">
              <w:rPr>
                <w:rFonts w:ascii="Times New Roman" w:eastAsiaTheme="minorEastAsia" w:hAnsi="Times New Roman" w:hint="eastAsia"/>
                <w:sz w:val="20"/>
                <w:lang w:eastAsia="ko-KR"/>
              </w:rPr>
              <w:t>9</w:t>
            </w:r>
          </w:p>
        </w:tc>
        <w:tc>
          <w:tcPr>
            <w:tcW w:w="552" w:type="pct"/>
            <w:tcBorders>
              <w:top w:val="dashSmallGap" w:sz="4" w:space="0" w:color="auto"/>
              <w:left w:val="single" w:sz="12" w:space="0" w:color="auto"/>
              <w:bottom w:val="single" w:sz="12" w:space="0" w:color="auto"/>
              <w:right w:val="single" w:sz="8" w:space="0" w:color="auto"/>
            </w:tcBorders>
            <w:tcMar>
              <w:top w:w="30" w:type="dxa"/>
              <w:left w:w="45" w:type="dxa"/>
              <w:bottom w:w="30" w:type="dxa"/>
              <w:right w:w="45" w:type="dxa"/>
            </w:tcMar>
          </w:tcPr>
          <w:p w14:paraId="621CA34E" w14:textId="25702B5F" w:rsidR="009042DD" w:rsidRPr="007F24B9" w:rsidRDefault="00613B7F" w:rsidP="009042DD">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4.094</w:t>
            </w:r>
            <w:r w:rsidR="003D4E9D" w:rsidRPr="007F24B9">
              <w:rPr>
                <w:rFonts w:ascii="Times New Roman" w:eastAsiaTheme="minorEastAsia" w:hAnsi="Times New Roman" w:hint="eastAsia"/>
                <w:sz w:val="20"/>
                <w:lang w:eastAsia="ko-KR"/>
              </w:rPr>
              <w:t>(ln60)</w:t>
            </w:r>
          </w:p>
        </w:tc>
        <w:tc>
          <w:tcPr>
            <w:tcW w:w="553" w:type="pct"/>
            <w:tcBorders>
              <w:top w:val="dashSmallGap" w:sz="4" w:space="0" w:color="auto"/>
              <w:left w:val="single" w:sz="8" w:space="0" w:color="auto"/>
              <w:bottom w:val="single" w:sz="12" w:space="0" w:color="auto"/>
              <w:right w:val="single" w:sz="12" w:space="0" w:color="auto"/>
            </w:tcBorders>
          </w:tcPr>
          <w:p w14:paraId="7FB1DCE5" w14:textId="3057BADF" w:rsidR="009042DD" w:rsidRPr="007F24B9" w:rsidRDefault="00FD6221" w:rsidP="009042DD">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w:t>
            </w:r>
          </w:p>
        </w:tc>
        <w:tc>
          <w:tcPr>
            <w:tcW w:w="477" w:type="pct"/>
            <w:tcBorders>
              <w:top w:val="dashSmallGap" w:sz="4" w:space="0" w:color="auto"/>
              <w:left w:val="single" w:sz="12" w:space="0" w:color="auto"/>
              <w:bottom w:val="single" w:sz="12" w:space="0" w:color="auto"/>
              <w:right w:val="single" w:sz="8" w:space="0" w:color="auto"/>
            </w:tcBorders>
          </w:tcPr>
          <w:p w14:paraId="65743D2B" w14:textId="244402B2" w:rsidR="009042DD" w:rsidRPr="007F24B9" w:rsidDel="009042DD" w:rsidRDefault="0052329E" w:rsidP="009042DD">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0.39</w:t>
            </w:r>
            <w:r w:rsidR="007C456C" w:rsidRPr="007F24B9">
              <w:rPr>
                <w:rFonts w:ascii="Times New Roman" w:eastAsiaTheme="minorEastAsia" w:hAnsi="Times New Roman" w:hint="eastAsia"/>
                <w:sz w:val="20"/>
                <w:lang w:eastAsia="ko-KR"/>
              </w:rPr>
              <w:t>1</w:t>
            </w:r>
          </w:p>
        </w:tc>
        <w:tc>
          <w:tcPr>
            <w:tcW w:w="475" w:type="pct"/>
            <w:tcBorders>
              <w:top w:val="dashSmallGap" w:sz="4" w:space="0" w:color="auto"/>
              <w:left w:val="single" w:sz="8" w:space="0" w:color="auto"/>
              <w:bottom w:val="single" w:sz="12" w:space="0" w:color="auto"/>
              <w:right w:val="single" w:sz="18" w:space="0" w:color="auto"/>
            </w:tcBorders>
          </w:tcPr>
          <w:p w14:paraId="375B7DC1" w14:textId="1EFCAC44" w:rsidR="009042DD" w:rsidRPr="007F24B9" w:rsidDel="009042DD" w:rsidRDefault="007C456C" w:rsidP="009042DD">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6.97</w:t>
            </w:r>
          </w:p>
        </w:tc>
      </w:tr>
      <w:tr w:rsidR="009042DD" w:rsidRPr="007F24B9" w14:paraId="54ED383E" w14:textId="77777777" w:rsidTr="00261282">
        <w:trPr>
          <w:trHeight w:val="144"/>
        </w:trPr>
        <w:tc>
          <w:tcPr>
            <w:tcW w:w="1950" w:type="pct"/>
            <w:tcBorders>
              <w:top w:val="dashSmallGap" w:sz="4" w:space="0" w:color="auto"/>
              <w:left w:val="single" w:sz="18" w:space="0" w:color="auto"/>
              <w:bottom w:val="single" w:sz="12" w:space="0" w:color="auto"/>
              <w:right w:val="single" w:sz="12" w:space="0" w:color="auto"/>
            </w:tcBorders>
            <w:tcMar>
              <w:top w:w="30" w:type="dxa"/>
              <w:left w:w="45" w:type="dxa"/>
              <w:bottom w:w="30" w:type="dxa"/>
              <w:right w:w="45" w:type="dxa"/>
            </w:tcMar>
            <w:vAlign w:val="center"/>
          </w:tcPr>
          <w:p w14:paraId="377FDB88" w14:textId="1C41D7E2" w:rsidR="009042DD" w:rsidRPr="007F24B9" w:rsidRDefault="009042DD" w:rsidP="002A3447">
            <w:pPr>
              <w:ind w:left="144"/>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4|5</w:t>
            </w:r>
          </w:p>
        </w:tc>
        <w:tc>
          <w:tcPr>
            <w:tcW w:w="552" w:type="pct"/>
            <w:tcBorders>
              <w:top w:val="dashSmallGap" w:sz="4" w:space="0" w:color="auto"/>
              <w:left w:val="single" w:sz="12" w:space="0" w:color="auto"/>
              <w:bottom w:val="single" w:sz="12" w:space="0" w:color="auto"/>
              <w:right w:val="single" w:sz="8" w:space="0" w:color="auto"/>
            </w:tcBorders>
            <w:tcMar>
              <w:top w:w="30" w:type="dxa"/>
              <w:left w:w="45" w:type="dxa"/>
              <w:bottom w:w="30" w:type="dxa"/>
              <w:right w:w="45" w:type="dxa"/>
            </w:tcMar>
          </w:tcPr>
          <w:p w14:paraId="3F15CA2C" w14:textId="5A485702" w:rsidR="009042DD" w:rsidRPr="007F24B9" w:rsidDel="009042DD" w:rsidRDefault="0052329E" w:rsidP="009042DD">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1.</w:t>
            </w:r>
            <w:r w:rsidR="007C456C" w:rsidRPr="007F24B9">
              <w:rPr>
                <w:rFonts w:ascii="Times New Roman" w:eastAsiaTheme="minorEastAsia" w:hAnsi="Times New Roman" w:hint="eastAsia"/>
                <w:sz w:val="20"/>
                <w:lang w:eastAsia="ko-KR"/>
              </w:rPr>
              <w:t>147</w:t>
            </w:r>
          </w:p>
        </w:tc>
        <w:tc>
          <w:tcPr>
            <w:tcW w:w="441" w:type="pct"/>
            <w:tcBorders>
              <w:top w:val="dashSmallGap" w:sz="4" w:space="0" w:color="auto"/>
              <w:left w:val="single" w:sz="8" w:space="0" w:color="auto"/>
              <w:bottom w:val="single" w:sz="12" w:space="0" w:color="auto"/>
              <w:right w:val="single" w:sz="12" w:space="0" w:color="auto"/>
            </w:tcBorders>
          </w:tcPr>
          <w:p w14:paraId="41F9C4B0" w14:textId="35461DE7" w:rsidR="009042DD" w:rsidRPr="007F24B9" w:rsidDel="009042DD" w:rsidRDefault="0052329E" w:rsidP="009042DD">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18.</w:t>
            </w:r>
            <w:r w:rsidR="007C456C" w:rsidRPr="007F24B9">
              <w:rPr>
                <w:rFonts w:ascii="Times New Roman" w:eastAsiaTheme="minorEastAsia" w:hAnsi="Times New Roman" w:hint="eastAsia"/>
                <w:sz w:val="20"/>
                <w:lang w:eastAsia="ko-KR"/>
              </w:rPr>
              <w:t>65</w:t>
            </w:r>
          </w:p>
        </w:tc>
        <w:tc>
          <w:tcPr>
            <w:tcW w:w="552" w:type="pct"/>
            <w:tcBorders>
              <w:top w:val="dashSmallGap" w:sz="4" w:space="0" w:color="auto"/>
              <w:left w:val="single" w:sz="12" w:space="0" w:color="auto"/>
              <w:bottom w:val="single" w:sz="12" w:space="0" w:color="auto"/>
              <w:right w:val="single" w:sz="8" w:space="0" w:color="auto"/>
            </w:tcBorders>
            <w:tcMar>
              <w:top w:w="30" w:type="dxa"/>
              <w:left w:w="45" w:type="dxa"/>
              <w:bottom w:w="30" w:type="dxa"/>
              <w:right w:w="45" w:type="dxa"/>
            </w:tcMar>
          </w:tcPr>
          <w:p w14:paraId="25FB7173" w14:textId="1E863FAE" w:rsidR="009042DD" w:rsidRPr="007F24B9" w:rsidRDefault="00EF6C26" w:rsidP="009042DD">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w:t>
            </w:r>
          </w:p>
        </w:tc>
        <w:tc>
          <w:tcPr>
            <w:tcW w:w="553" w:type="pct"/>
            <w:tcBorders>
              <w:top w:val="dashSmallGap" w:sz="4" w:space="0" w:color="auto"/>
              <w:left w:val="single" w:sz="8" w:space="0" w:color="auto"/>
              <w:bottom w:val="single" w:sz="12" w:space="0" w:color="auto"/>
              <w:right w:val="single" w:sz="12" w:space="0" w:color="auto"/>
            </w:tcBorders>
          </w:tcPr>
          <w:p w14:paraId="3A3C16A1" w14:textId="0D59F6EB" w:rsidR="009042DD" w:rsidRPr="007F24B9" w:rsidRDefault="00EF6C26" w:rsidP="009042DD">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w:t>
            </w:r>
          </w:p>
        </w:tc>
        <w:tc>
          <w:tcPr>
            <w:tcW w:w="477" w:type="pct"/>
            <w:tcBorders>
              <w:top w:val="dashSmallGap" w:sz="4" w:space="0" w:color="auto"/>
              <w:left w:val="single" w:sz="12" w:space="0" w:color="auto"/>
              <w:bottom w:val="single" w:sz="12" w:space="0" w:color="auto"/>
              <w:right w:val="single" w:sz="8" w:space="0" w:color="auto"/>
            </w:tcBorders>
          </w:tcPr>
          <w:p w14:paraId="2E3CEDC4" w14:textId="6A7BF4B4" w:rsidR="009042DD" w:rsidRPr="007F24B9" w:rsidDel="009042DD" w:rsidRDefault="00620C8B" w:rsidP="009042DD">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1.2</w:t>
            </w:r>
            <w:r w:rsidR="007C456C" w:rsidRPr="007F24B9">
              <w:rPr>
                <w:rFonts w:ascii="Times New Roman" w:eastAsiaTheme="minorEastAsia" w:hAnsi="Times New Roman" w:hint="eastAsia"/>
                <w:sz w:val="20"/>
                <w:lang w:eastAsia="ko-KR"/>
              </w:rPr>
              <w:t>10</w:t>
            </w:r>
          </w:p>
        </w:tc>
        <w:tc>
          <w:tcPr>
            <w:tcW w:w="475" w:type="pct"/>
            <w:tcBorders>
              <w:top w:val="dashSmallGap" w:sz="4" w:space="0" w:color="auto"/>
              <w:left w:val="single" w:sz="8" w:space="0" w:color="auto"/>
              <w:bottom w:val="single" w:sz="12" w:space="0" w:color="auto"/>
              <w:right w:val="single" w:sz="18" w:space="0" w:color="auto"/>
            </w:tcBorders>
          </w:tcPr>
          <w:p w14:paraId="727A326B" w14:textId="0C39B8A0" w:rsidR="009042DD" w:rsidRPr="007F24B9" w:rsidDel="009042DD" w:rsidRDefault="00620C8B" w:rsidP="009042DD">
            <w:pPr>
              <w:jc w:val="right"/>
              <w:rPr>
                <w:rFonts w:ascii="Times New Roman" w:eastAsiaTheme="minorEastAsia" w:hAnsi="Times New Roman"/>
                <w:sz w:val="20"/>
                <w:lang w:eastAsia="ko-KR"/>
              </w:rPr>
            </w:pPr>
            <w:r w:rsidRPr="007F24B9">
              <w:rPr>
                <w:rFonts w:ascii="Times New Roman" w:eastAsiaTheme="minorEastAsia" w:hAnsi="Times New Roman" w:hint="eastAsia"/>
                <w:sz w:val="20"/>
                <w:lang w:eastAsia="ko-KR"/>
              </w:rPr>
              <w:t>1</w:t>
            </w:r>
            <w:r w:rsidR="007C456C" w:rsidRPr="007F24B9">
              <w:rPr>
                <w:rFonts w:ascii="Times New Roman" w:eastAsiaTheme="minorEastAsia" w:hAnsi="Times New Roman" w:hint="eastAsia"/>
                <w:sz w:val="20"/>
                <w:lang w:eastAsia="ko-KR"/>
              </w:rPr>
              <w:t>7.75</w:t>
            </w:r>
          </w:p>
        </w:tc>
      </w:tr>
    </w:tbl>
    <w:p w14:paraId="415679F8" w14:textId="77777777" w:rsidR="00840C8D" w:rsidRDefault="00840C8D" w:rsidP="00F424E8">
      <w:pPr>
        <w:rPr>
          <w:lang w:eastAsia="ko-KR"/>
        </w:rPr>
      </w:pPr>
      <w:bookmarkStart w:id="35" w:name="_Hlk169956868"/>
      <w:bookmarkEnd w:id="34"/>
    </w:p>
    <w:p w14:paraId="54FC0F81" w14:textId="77777777" w:rsidR="00840C8D" w:rsidRDefault="00840C8D" w:rsidP="00F424E8">
      <w:pPr>
        <w:rPr>
          <w:lang w:eastAsia="ko-KR"/>
        </w:rPr>
      </w:pPr>
    </w:p>
    <w:p w14:paraId="150AA9C5" w14:textId="2D91FF4E" w:rsidR="00543FA9" w:rsidRDefault="00745536" w:rsidP="00662E40">
      <w:pPr>
        <w:pStyle w:val="Heading2"/>
        <w:keepNext/>
        <w:keepLines/>
        <w:spacing w:line="240" w:lineRule="auto"/>
        <w:ind w:hanging="540"/>
        <w:contextualSpacing w:val="0"/>
        <w:rPr>
          <w:lang w:eastAsia="ko-KR"/>
        </w:rPr>
      </w:pPr>
      <w:r>
        <w:rPr>
          <w:rFonts w:hint="eastAsia"/>
          <w:lang w:eastAsia="ko-KR"/>
        </w:rPr>
        <w:lastRenderedPageBreak/>
        <w:t xml:space="preserve">Influence of </w:t>
      </w:r>
      <w:r w:rsidR="00815C61">
        <w:rPr>
          <w:lang w:eastAsia="ko-KR"/>
        </w:rPr>
        <w:t xml:space="preserve">Exogenous </w:t>
      </w:r>
      <w:r>
        <w:rPr>
          <w:rFonts w:hint="eastAsia"/>
          <w:lang w:eastAsia="ko-KR"/>
        </w:rPr>
        <w:t>Variables on Walking Frequency</w:t>
      </w:r>
      <w:r w:rsidR="0093547B">
        <w:rPr>
          <w:rFonts w:hint="eastAsia"/>
          <w:lang w:eastAsia="ko-KR"/>
        </w:rPr>
        <w:t>, Average Walking Duration</w:t>
      </w:r>
      <w:r w:rsidR="000E0D83">
        <w:rPr>
          <w:lang w:eastAsia="ko-KR"/>
        </w:rPr>
        <w:t>, and</w:t>
      </w:r>
      <w:r w:rsidR="000E0D83" w:rsidRPr="000E0D83">
        <w:rPr>
          <w:rFonts w:hint="eastAsia"/>
          <w:lang w:eastAsia="ko-KR"/>
        </w:rPr>
        <w:t xml:space="preserve"> </w:t>
      </w:r>
      <w:r w:rsidR="000E0D83">
        <w:rPr>
          <w:rFonts w:hint="eastAsia"/>
          <w:lang w:eastAsia="ko-KR"/>
        </w:rPr>
        <w:t xml:space="preserve">Walking </w:t>
      </w:r>
      <w:r w:rsidR="000E0D83">
        <w:rPr>
          <w:lang w:eastAsia="ko-KR"/>
        </w:rPr>
        <w:t>Companionship</w:t>
      </w:r>
    </w:p>
    <w:p w14:paraId="67F05808" w14:textId="0B78A71B" w:rsidR="00A509BB" w:rsidRPr="00662E40" w:rsidRDefault="0011589E" w:rsidP="00662E40">
      <w:pPr>
        <w:keepNext/>
        <w:keepLines/>
        <w:jc w:val="both"/>
        <w:rPr>
          <w:rFonts w:ascii="Times New Roman" w:eastAsiaTheme="minorEastAsia" w:hAnsi="Times New Roman"/>
          <w:lang w:eastAsia="ko-KR"/>
        </w:rPr>
      </w:pPr>
      <w:r>
        <w:rPr>
          <w:rFonts w:eastAsiaTheme="minorEastAsia"/>
          <w:lang w:eastAsia="ko-KR"/>
        </w:rPr>
        <w:t xml:space="preserve">The results in Table </w:t>
      </w:r>
      <w:r w:rsidR="00F176E4">
        <w:rPr>
          <w:rFonts w:eastAsiaTheme="minorEastAsia" w:hint="eastAsia"/>
          <w:lang w:eastAsia="ko-KR"/>
        </w:rPr>
        <w:t>4</w:t>
      </w:r>
      <w:r>
        <w:rPr>
          <w:rFonts w:eastAsiaTheme="minorEastAsia"/>
          <w:lang w:eastAsia="ko-KR"/>
        </w:rPr>
        <w:t xml:space="preserve"> show that individuals </w:t>
      </w:r>
      <w:r w:rsidR="00661771">
        <w:rPr>
          <w:rFonts w:eastAsiaTheme="minorEastAsia"/>
          <w:lang w:eastAsia="ko-KR"/>
        </w:rPr>
        <w:t>65</w:t>
      </w:r>
      <w:r>
        <w:rPr>
          <w:rFonts w:eastAsiaTheme="minorEastAsia"/>
          <w:lang w:eastAsia="ko-KR"/>
        </w:rPr>
        <w:t xml:space="preserve"> years of age </w:t>
      </w:r>
      <w:r w:rsidR="00661771">
        <w:rPr>
          <w:rFonts w:eastAsiaTheme="minorEastAsia"/>
          <w:lang w:eastAsia="ko-KR"/>
        </w:rPr>
        <w:t xml:space="preserve">or older </w:t>
      </w:r>
      <w:r>
        <w:rPr>
          <w:rFonts w:eastAsiaTheme="minorEastAsia"/>
          <w:lang w:eastAsia="ko-KR"/>
        </w:rPr>
        <w:t xml:space="preserve">and women display a lower walk </w:t>
      </w:r>
      <w:r w:rsidRPr="00587212">
        <w:rPr>
          <w:rFonts w:eastAsiaTheme="minorEastAsia"/>
          <w:lang w:eastAsia="ko-KR"/>
        </w:rPr>
        <w:t xml:space="preserve">propensity and duration </w:t>
      </w:r>
      <w:r w:rsidR="00661771" w:rsidRPr="00587212">
        <w:rPr>
          <w:rFonts w:eastAsiaTheme="minorEastAsia"/>
          <w:lang w:eastAsia="ko-KR"/>
        </w:rPr>
        <w:t xml:space="preserve">than those between the ages of 50-64 years and men, respectively. The age result </w:t>
      </w:r>
      <w:r w:rsidR="003047D8" w:rsidRPr="00587212">
        <w:rPr>
          <w:rFonts w:eastAsiaTheme="minorEastAsia"/>
          <w:lang w:eastAsia="ko-KR"/>
        </w:rPr>
        <w:t xml:space="preserve">is </w:t>
      </w:r>
      <w:r w:rsidR="00AC59CC" w:rsidRPr="00587212">
        <w:rPr>
          <w:rFonts w:eastAsiaTheme="minorEastAsia"/>
          <w:lang w:eastAsia="ko-KR"/>
        </w:rPr>
        <w:t>the reverse of the result found in some studies from the pre-pandemic literature, including</w:t>
      </w:r>
      <w:r w:rsidR="00FF3971" w:rsidRPr="00587212">
        <w:rPr>
          <w:rFonts w:eastAsiaTheme="minorEastAsia" w:hint="eastAsia"/>
          <w:lang w:eastAsia="ko-KR"/>
        </w:rPr>
        <w:t xml:space="preserve"> </w:t>
      </w:r>
      <w:r w:rsidR="00FF3971" w:rsidRPr="00587212">
        <w:rPr>
          <w:rFonts w:eastAsiaTheme="minorEastAsia"/>
          <w:lang w:eastAsia="ko-KR"/>
        </w:rPr>
        <w:fldChar w:fldCharType="begin"/>
      </w:r>
      <w:r w:rsidR="003B3F4D" w:rsidRPr="00587212">
        <w:rPr>
          <w:rFonts w:eastAsiaTheme="minorEastAsia"/>
          <w:lang w:eastAsia="ko-KR"/>
        </w:rPr>
        <w:instrText xml:space="preserve"> ADDIN ZOTERO_ITEM CSL_CITATION {"citationID":"4hvx8QfC","properties":{"formattedCitation":"(Nagel et al., 2008; Thornton et al., 2017)","plainCitation":"(Nagel et al., 2008; Thornton et al., 2017)","dontUpdate":true,"noteIndex":0},"citationItems":[{"id":919,"uris":["http://zotero.org/users/10132210/items/ARMZ93DP"],"itemData":{"id":919,"type":"article-journal","container-title":"American Journal of Epidemiology","DOI":"10.1093/aje/kwn158","ISSN":"0002-9262, 1476-6256","issue":"4","journalAbbreviation":"American Journal of Epidemiology","language":"en","page":"461-468","source":"DOI.org (Crossref)","title":"The Relation between Neighborhood Built Environment and Walking Activity among Older Adults","volume":"168","author":[{"family":"Nagel","given":"C. L."},{"family":"Carlson","given":"N. E."},{"family":"Bosworth","given":"M."},{"family":"Michael","given":"Y. L."}],"issued":{"date-parts":[["2008",6,30]]}}},{"id":1211,"uris":["http://zotero.org/users/10132210/items/CGGCSG6C"],"itemData":{"id":1211,"type":"article-journal","abstract":"Background—Studies identifying correlates of physical activity (PA) at all levels of the ecological model can provide an empirical basis for designing interventions to increase older adults’ PA.","container-title":"Annals of Behavioral Medicine","DOI":"10.1007/s12160-016-9837-1","ISSN":"0883-6612, 1532-4796","issue":"2","journalAbbreviation":"ann. behav. med.","language":"en","page":"159-169","source":"DOI.org (Crossref)","title":"Physical Activity in Older Adults: an Ecological Approach","title-short":"Physical Activity in Older Adults","volume":"51","author":[{"family":"Thornton","given":"Christina M."},{"family":"Kerr","given":"Jacqueline"},{"family":"Conway","given":"Terry L."},{"family":"Saelens","given":"Brian E."},{"family":"Sallis","given":"James F."},{"family":"Ahn","given":"David K."},{"family":"Frank","given":"Lawrence D."},{"family":"Cain","given":"Kelli L."},{"family":"King","given":"Abby C."}],"issued":{"date-parts":[["2017",4]]}}}],"schema":"https://github.com/citation-style-language/schema/raw/master/csl-citation.json"} </w:instrText>
      </w:r>
      <w:r w:rsidR="00FF3971" w:rsidRPr="00587212">
        <w:rPr>
          <w:rFonts w:eastAsiaTheme="minorEastAsia"/>
          <w:lang w:eastAsia="ko-KR"/>
        </w:rPr>
        <w:fldChar w:fldCharType="separate"/>
      </w:r>
      <w:r w:rsidR="00FF3971" w:rsidRPr="00587212">
        <w:rPr>
          <w:rFonts w:cs="Times"/>
        </w:rPr>
        <w:t xml:space="preserve">Nagel et al. </w:t>
      </w:r>
      <w:r w:rsidR="00F57BAD" w:rsidRPr="00587212">
        <w:rPr>
          <w:rFonts w:eastAsiaTheme="minorEastAsia" w:cs="Times"/>
          <w:lang w:eastAsia="ko-KR"/>
        </w:rPr>
        <w:t>(</w:t>
      </w:r>
      <w:r w:rsidR="00FF3971" w:rsidRPr="00587212">
        <w:rPr>
          <w:rFonts w:cs="Times"/>
        </w:rPr>
        <w:t>2008</w:t>
      </w:r>
      <w:r w:rsidR="00F57BAD" w:rsidRPr="00587212">
        <w:rPr>
          <w:rFonts w:eastAsiaTheme="minorEastAsia" w:cs="Times"/>
          <w:lang w:eastAsia="ko-KR"/>
        </w:rPr>
        <w:t xml:space="preserve">) and </w:t>
      </w:r>
      <w:bookmarkStart w:id="36" w:name="_Hlk169960724"/>
      <w:r w:rsidR="00FF3971" w:rsidRPr="00587212">
        <w:rPr>
          <w:rFonts w:cs="Times"/>
        </w:rPr>
        <w:t>Thornton et al.</w:t>
      </w:r>
      <w:r w:rsidR="00F57BAD" w:rsidRPr="00587212">
        <w:rPr>
          <w:rFonts w:eastAsiaTheme="minorEastAsia" w:cs="Times"/>
          <w:lang w:eastAsia="ko-KR"/>
        </w:rPr>
        <w:t xml:space="preserve"> (</w:t>
      </w:r>
      <w:r w:rsidR="00FF3971" w:rsidRPr="00587212">
        <w:rPr>
          <w:rFonts w:cs="Times"/>
        </w:rPr>
        <w:t>2017)</w:t>
      </w:r>
      <w:bookmarkEnd w:id="36"/>
      <w:r w:rsidR="00FF3971" w:rsidRPr="00587212">
        <w:rPr>
          <w:rFonts w:eastAsiaTheme="minorEastAsia"/>
          <w:lang w:eastAsia="ko-KR"/>
        </w:rPr>
        <w:fldChar w:fldCharType="end"/>
      </w:r>
      <w:r w:rsidR="00F57BAD" w:rsidRPr="00587212">
        <w:rPr>
          <w:rFonts w:eastAsiaTheme="minorEastAsia" w:hint="eastAsia"/>
          <w:lang w:eastAsia="ko-KR"/>
        </w:rPr>
        <w:t xml:space="preserve">, </w:t>
      </w:r>
      <w:r w:rsidR="00AC59CC" w:rsidRPr="00587212">
        <w:rPr>
          <w:rFonts w:eastAsiaTheme="minorEastAsia"/>
          <w:lang w:eastAsia="ko-KR"/>
        </w:rPr>
        <w:t xml:space="preserve">but </w:t>
      </w:r>
      <w:r w:rsidR="00F048CB" w:rsidRPr="00587212">
        <w:rPr>
          <w:rFonts w:eastAsiaTheme="minorEastAsia"/>
          <w:lang w:eastAsia="ko-KR"/>
        </w:rPr>
        <w:t xml:space="preserve">harmonious </w:t>
      </w:r>
      <w:r w:rsidR="00E73D1C" w:rsidRPr="00587212">
        <w:rPr>
          <w:rFonts w:eastAsiaTheme="minorEastAsia"/>
          <w:lang w:eastAsia="ko-KR"/>
        </w:rPr>
        <w:t>with</w:t>
      </w:r>
      <w:r w:rsidR="00F048CB" w:rsidRPr="00587212">
        <w:rPr>
          <w:rFonts w:eastAsiaTheme="minorEastAsia"/>
          <w:lang w:eastAsia="ko-KR"/>
        </w:rPr>
        <w:t xml:space="preserve"> </w:t>
      </w:r>
      <w:r w:rsidR="00AC59CC" w:rsidRPr="00587212">
        <w:rPr>
          <w:rFonts w:eastAsiaTheme="minorEastAsia"/>
          <w:lang w:eastAsia="ko-KR"/>
        </w:rPr>
        <w:t xml:space="preserve">other </w:t>
      </w:r>
      <w:r w:rsidR="00E73D1C" w:rsidRPr="00587212">
        <w:rPr>
          <w:rFonts w:eastAsiaTheme="minorEastAsia"/>
          <w:lang w:eastAsia="ko-KR"/>
        </w:rPr>
        <w:t>findings</w:t>
      </w:r>
      <w:r w:rsidR="00661771" w:rsidRPr="00587212">
        <w:rPr>
          <w:rFonts w:eastAsiaTheme="minorEastAsia"/>
          <w:lang w:eastAsia="ko-KR"/>
        </w:rPr>
        <w:t xml:space="preserve"> </w:t>
      </w:r>
      <w:r w:rsidR="00E73D1C" w:rsidRPr="00587212">
        <w:rPr>
          <w:rFonts w:eastAsiaTheme="minorEastAsia"/>
          <w:lang w:eastAsia="ko-KR"/>
        </w:rPr>
        <w:t>predating the pandemi</w:t>
      </w:r>
      <w:r w:rsidR="00E73D1C" w:rsidRPr="00587212">
        <w:rPr>
          <w:rFonts w:eastAsiaTheme="minorEastAsia" w:hint="eastAsia"/>
          <w:lang w:eastAsia="ko-KR"/>
        </w:rPr>
        <w:t>c</w:t>
      </w:r>
      <w:r w:rsidR="00CB2E41" w:rsidRPr="00587212">
        <w:rPr>
          <w:rFonts w:eastAsiaTheme="minorEastAsia" w:hint="eastAsia"/>
          <w:lang w:eastAsia="ko-KR"/>
        </w:rPr>
        <w:t xml:space="preserve"> (</w:t>
      </w:r>
      <w:bookmarkStart w:id="37" w:name="_Hlk169967646"/>
      <w:r w:rsidR="003047D8" w:rsidRPr="00587212">
        <w:rPr>
          <w:rFonts w:eastAsiaTheme="minorEastAsia"/>
          <w:lang w:eastAsia="ko-KR"/>
        </w:rPr>
        <w:t>see, for example,</w:t>
      </w:r>
      <w:r w:rsidR="00CB2E41" w:rsidRPr="00587212">
        <w:rPr>
          <w:rFonts w:eastAsiaTheme="minorEastAsia"/>
          <w:lang w:eastAsia="ko-KR"/>
        </w:rPr>
        <w:t xml:space="preserve"> </w:t>
      </w:r>
      <w:r w:rsidR="007374F7" w:rsidRPr="00587212">
        <w:rPr>
          <w:rFonts w:eastAsiaTheme="minorEastAsia"/>
          <w:lang w:eastAsia="ko-KR"/>
        </w:rPr>
        <w:fldChar w:fldCharType="begin"/>
      </w:r>
      <w:r w:rsidR="003B3F4D" w:rsidRPr="00587212">
        <w:rPr>
          <w:rFonts w:eastAsiaTheme="minorEastAsia"/>
          <w:lang w:eastAsia="ko-KR"/>
        </w:rPr>
        <w:instrText xml:space="preserve"> ADDIN ZOTERO_ITEM CSL_CITATION {"citationID":"7nUWA4y6","properties":{"unsorted":true,"formattedCitation":"(Paul et al., 2015; Z. Liu et al., 2020; National Center for Health Statistics, 2019)","plainCitation":"(Paul et al., 2015; Z. Liu et al., 2020; National Center for Health Statistics, 2019)","dontUpdate":true,"noteIndex":0},"citationItems":[{"id":707,"uris":["http://zotero.org/users/10132210/items/WWSKKNCC"],"itemData":{"id":707,"type":"article-journal","abstract":"Background: Walking, the most commonly reported physical activity among U.S. adults, is undertaken in various domains, including transportation and leisure. Methods: This study examined prevalence, bout length, and mean amount of walking in the last week for transportation and leisure, by selected characteristics. Self-reported data from the 2010 National Health Interview Survey (N = 24,017) were analyzed. Results: Prevalence of transportation walking was 29.4% (95% CI: 28.6%–30.3%) and of leisure walking was 50.0% (95% CI: 49.1%–51.0%). Prevalence of transportation walking was higher among men; prevalence of leisure walking was higher among women. Most (52.4%) transportation walking bouts were 10 to 15 minutes; leisure walking bouts were distributed more evenly (28.0%, 10–15 minutes; 17.1%, 41–60 minutes). Mean time spent in transportation walking was higher among men, decreased with increasing BMI, and varied by race/ethnicity and region of residence. Mean time spent leisure walking increased with increasing age and with decreasing BMI. Conclusion: Demographic correlates and patterns of walking differ by domain. Interventions focusing on either leisure or transportation walking should consider correlates for the specific walking domain. Assessing prevalence, bout length, and mean time of walking for transportation and leisure separately allows for more comprehensive surveillance of walking.","container-title":"Journal of Physical Activity and Health","DOI":"10.1123/jpah.2013-0519","ISSN":"1543-3080, 1543-5474","issue":"s1","language":"en","note":"number: s1","page":"S62-S69","source":"DOI.org (Crossref)","title":"Walking for Transportation and Leisure among U.S. Adults—National Health Interview Survey 2010","volume":"12","author":[{"family":"Paul","given":"Prabasaj"},{"family":"Carlson","given":"Susan A."},{"family":"Carroll","given":"Dianna D."},{"family":"Berrigan","given":"David"},{"family":"Fulton","given":"Janet E."}],"issued":{"date-parts":[["2015",1]]}}},{"id":989,"uris":["http://zotero.org/users/10132210/items/AE6N5R4C"],"itemData":{"id":989,"type":"article-journal","abstract":"Introduction: Leisure walking is the most prevalent and preferred form of physical activity among older adults. Duration is a key component of leisure walking behavior, and therefore, an important determinant of weekly walking levels. The research on the duration of leisure walking trips of older adults is scarce. The aim of this study is to examine the relationships between walking trip duration, the characteristics of these walking trips, and neighborhood characteris­ tics, taking into account socio-demographics.\nMethods: The study was based on a cross-sectional sample of 316 respondents aged 60 or older in Dalian, China. In-person structured interviews focused on walking trip duration, the character­ istics of walking trips, neighborhood characteristics, and socio-demographics. A random effects ordered logit model was estimated to identify the correlates of walking trip duration.\nResults: Participation in leisure walking in the evening was associated with less time spent on walking. Combing walking and other activities on a trip was also associated with less time spent on walking. Higher satisfaction with neighborhood aesthetics was associated with longer walking durations, but only among those who participated solely in their walking trip. Older adults who were satisfied with footpath conditions and traffic safety were more likely to walk for longer durations, but only among those conducting walking in the streets. In addition, there was a positive relationship between the satisfaction with crime safety and walking trip duration for those who walked in the evening.\nConclusions: Interventions involving the neighborhood environment could be a promising op­ portunity for the promotion of walking duration but should be tailored to the appropriate older adults.","container-title":"Journal of Transport &amp; Health","DOI":"10.1016/j.jth.2020.100889","ISSN":"22141405","journalAbbreviation":"Journal of Transport &amp; Health","language":"en","page":"100889","source":"DOI.org (Crossref)","title":"Correlates of older adults’ walking trip duration","volume":"18","author":[{"family":"Liu","given":"Zhengying"},{"family":"Kemperman","given":"Astrid"},{"family":"Timmermans","given":"Harry"}],"issued":{"date-parts":[["2020",9]]}}},{"id":942,"uris":["http://zotero.org/users/10132210/items/FTLCCUU6"],"itemData":{"id":942,"type":"dataset","event-place":"Hyattsville, MD","publisher-place":"Hyattsville, MD","title":"Health, America, 2019: Table 25","URL":"https://www.cdc.gov/nchs/hus/contents2019.htm","author":[{"family":"National Center for Health Statistics","given":""}],"issued":{"date-parts":[["2019"]]}}}],"schema":"https://github.com/citation-style-language/schema/raw/master/csl-citation.json"} </w:instrText>
      </w:r>
      <w:r w:rsidR="007374F7" w:rsidRPr="00587212">
        <w:rPr>
          <w:rFonts w:eastAsiaTheme="minorEastAsia"/>
          <w:lang w:eastAsia="ko-KR"/>
        </w:rPr>
        <w:fldChar w:fldCharType="separate"/>
      </w:r>
      <w:r w:rsidR="0009107F" w:rsidRPr="00587212">
        <w:rPr>
          <w:rFonts w:cs="Times"/>
        </w:rPr>
        <w:t>Paul et al., 2015</w:t>
      </w:r>
      <w:r w:rsidR="00355980" w:rsidRPr="00587212">
        <w:rPr>
          <w:rFonts w:cs="Times"/>
        </w:rPr>
        <w:t>,</w:t>
      </w:r>
      <w:r w:rsidR="0009107F" w:rsidRPr="00587212">
        <w:rPr>
          <w:rFonts w:cs="Times"/>
        </w:rPr>
        <w:t xml:space="preserve"> National Center for Health Statistics, 2019</w:t>
      </w:r>
      <w:r w:rsidR="00355980" w:rsidRPr="00587212">
        <w:rPr>
          <w:rFonts w:cs="Times"/>
        </w:rPr>
        <w:t>, and Liu et al., 2020</w:t>
      </w:r>
      <w:r w:rsidR="0009107F" w:rsidRPr="00587212">
        <w:rPr>
          <w:rFonts w:cs="Times"/>
        </w:rPr>
        <w:t>)</w:t>
      </w:r>
      <w:r w:rsidR="007374F7" w:rsidRPr="00587212">
        <w:rPr>
          <w:rFonts w:eastAsiaTheme="minorEastAsia"/>
          <w:lang w:eastAsia="ko-KR"/>
        </w:rPr>
        <w:fldChar w:fldCharType="end"/>
      </w:r>
      <w:bookmarkEnd w:id="37"/>
      <w:r w:rsidR="00F048CB" w:rsidRPr="00587212">
        <w:rPr>
          <w:rFonts w:cs="Times"/>
        </w:rPr>
        <w:t>. It is also consistent</w:t>
      </w:r>
      <w:r w:rsidR="00AC59CC" w:rsidRPr="00587212">
        <w:rPr>
          <w:rFonts w:eastAsiaTheme="minorEastAsia"/>
          <w:lang w:eastAsia="ko-KR"/>
        </w:rPr>
        <w:t xml:space="preserve"> </w:t>
      </w:r>
      <w:r w:rsidR="00F048CB" w:rsidRPr="00662E40">
        <w:rPr>
          <w:rFonts w:ascii="Times New Roman" w:eastAsiaTheme="minorEastAsia" w:hAnsi="Times New Roman"/>
          <w:lang w:eastAsia="ko-KR"/>
        </w:rPr>
        <w:t xml:space="preserve">with </w:t>
      </w:r>
      <w:r w:rsidR="00AC59CC" w:rsidRPr="00662E40">
        <w:rPr>
          <w:rFonts w:ascii="Times New Roman" w:eastAsiaTheme="minorEastAsia" w:hAnsi="Times New Roman"/>
          <w:lang w:eastAsia="ko-KR"/>
        </w:rPr>
        <w:t>the results from Hwang et al. (2023) and You</w:t>
      </w:r>
      <w:r w:rsidR="00BF1EFF" w:rsidRPr="00662E40">
        <w:rPr>
          <w:rFonts w:ascii="Times New Roman" w:eastAsiaTheme="minorEastAsia" w:hAnsi="Times New Roman"/>
          <w:lang w:eastAsia="ko-KR"/>
        </w:rPr>
        <w:t>n</w:t>
      </w:r>
      <w:r w:rsidR="00095AC2" w:rsidRPr="00662E40">
        <w:rPr>
          <w:rFonts w:ascii="Times New Roman" w:eastAsiaTheme="minorEastAsia" w:hAnsi="Times New Roman"/>
          <w:lang w:eastAsia="ko-KR"/>
        </w:rPr>
        <w:t>e</w:t>
      </w:r>
      <w:r w:rsidR="00BF1EFF" w:rsidRPr="00662E40">
        <w:rPr>
          <w:rFonts w:ascii="Times New Roman" w:eastAsiaTheme="minorEastAsia" w:hAnsi="Times New Roman"/>
          <w:lang w:eastAsia="ko-KR"/>
        </w:rPr>
        <w:t>s et al.</w:t>
      </w:r>
      <w:r w:rsidR="00AC59CC" w:rsidRPr="00662E40">
        <w:rPr>
          <w:rFonts w:ascii="Times New Roman" w:eastAsiaTheme="minorEastAsia" w:hAnsi="Times New Roman"/>
          <w:lang w:eastAsia="ko-KR"/>
        </w:rPr>
        <w:t xml:space="preserve"> (2023) conducted after the onset of the pandemic. </w:t>
      </w:r>
      <w:r w:rsidR="00BF1EFF" w:rsidRPr="00662E40">
        <w:rPr>
          <w:rFonts w:ascii="Times New Roman" w:eastAsiaTheme="minorEastAsia" w:hAnsi="Times New Roman"/>
          <w:lang w:eastAsia="ko-KR"/>
        </w:rPr>
        <w:t xml:space="preserve">This result may be due to overall safety concerns, less confidence in one’s walking abilities, and declines in physical fitness with </w:t>
      </w:r>
      <w:bookmarkStart w:id="38" w:name="_Hlk169960904"/>
      <w:r w:rsidR="00BF1EFF" w:rsidRPr="00662E40">
        <w:rPr>
          <w:rFonts w:ascii="Times New Roman" w:eastAsiaTheme="minorEastAsia" w:hAnsi="Times New Roman"/>
          <w:lang w:eastAsia="ko-KR"/>
        </w:rPr>
        <w:t xml:space="preserve">age. </w:t>
      </w:r>
      <w:r w:rsidR="009835E5" w:rsidRPr="00662E40">
        <w:rPr>
          <w:rFonts w:ascii="Times New Roman" w:eastAsiaTheme="minorEastAsia" w:hAnsi="Times New Roman"/>
          <w:lang w:eastAsia="ko-KR"/>
        </w:rPr>
        <w:fldChar w:fldCharType="begin"/>
      </w:r>
      <w:r w:rsidR="00177866" w:rsidRPr="00662E40">
        <w:rPr>
          <w:rFonts w:ascii="Times New Roman" w:eastAsiaTheme="minorEastAsia" w:hAnsi="Times New Roman"/>
          <w:lang w:eastAsia="ko-KR"/>
        </w:rPr>
        <w:instrText xml:space="preserve"> ADDIN ZOTERO_ITEM CSL_CITATION {"citationID":"OcEEXo3V","properties":{"formattedCitation":"(Clark &amp; Scott, 2016)","plainCitation":"(Clark &amp; Scott, 2016)","dontUpdate":true,"noteIndex":0},"citationItems":[{"id":1069,"uris":["http://zotero.org/users/10132210/items/PWX722IS"],"itemData":{"id":1069,"type":"article-journal","abstract":"This study investigates perceived barriers to walking using data collected from 179 randomly-selected adults between the ages of 18 and 92 in Hamilton, Ontario, Canada. A survey (Hamilton Active Living Study) asked questions about socio-demographics, walking, and barriers to walking. A series of binary logit models are estimated for twenty potential barriers to walking. The results demonstrate that different barriers are associated with different sub-groups of the population. Females, senior citizens, and those with a higher body mass index identify the most barriers to walking, while young adults, parents, driver’s license owners, and bus pass owners identify the fewest barriers. Understanding who is affected by perceived barriers can help policy makers and health promotion agencies target sub-groups of the population in an effort to increase walking.","container-title":"International Journal of Environmental Research and Public Health","DOI":"10.3390/ijerph13020179","ISSN":"1660-4601","issue":"2","journalAbbreviation":"IJERPH","language":"en","license":"https://creativecommons.org/licenses/by/4.0/","page":"179","source":"DOI.org (Crossref)","title":"Barriers to Walking: An Investigation of Adults in Hamilton (Ontario, Canada)","title-short":"Barriers to Walking","volume":"13","author":[{"family":"Clark","given":"Andrew"},{"family":"Scott","given":"Darren"}],"issued":{"date-parts":[["2016",1,30]]}}}],"schema":"https://github.com/citation-style-language/schema/raw/master/csl-citation.json"} </w:instrText>
      </w:r>
      <w:r w:rsidR="009835E5" w:rsidRPr="00662E40">
        <w:rPr>
          <w:rFonts w:ascii="Times New Roman" w:eastAsiaTheme="minorEastAsia" w:hAnsi="Times New Roman"/>
          <w:lang w:eastAsia="ko-KR"/>
        </w:rPr>
        <w:fldChar w:fldCharType="separate"/>
      </w:r>
      <w:r w:rsidR="009835E5" w:rsidRPr="00662E40">
        <w:rPr>
          <w:rFonts w:ascii="Times New Roman" w:hAnsi="Times New Roman"/>
        </w:rPr>
        <w:t xml:space="preserve">Clark </w:t>
      </w:r>
      <w:r w:rsidR="009835E5" w:rsidRPr="00662E40">
        <w:rPr>
          <w:rFonts w:ascii="Times New Roman" w:eastAsiaTheme="minorEastAsia" w:hAnsi="Times New Roman"/>
          <w:lang w:eastAsia="ko-KR"/>
        </w:rPr>
        <w:t>and</w:t>
      </w:r>
      <w:r w:rsidR="009835E5" w:rsidRPr="00662E40">
        <w:rPr>
          <w:rFonts w:ascii="Times New Roman" w:hAnsi="Times New Roman"/>
        </w:rPr>
        <w:t xml:space="preserve"> Scott </w:t>
      </w:r>
      <w:r w:rsidR="009835E5" w:rsidRPr="00662E40">
        <w:rPr>
          <w:rFonts w:ascii="Times New Roman" w:eastAsiaTheme="minorEastAsia" w:hAnsi="Times New Roman"/>
          <w:lang w:eastAsia="ko-KR"/>
        </w:rPr>
        <w:t>(</w:t>
      </w:r>
      <w:r w:rsidR="009835E5" w:rsidRPr="00662E40">
        <w:rPr>
          <w:rFonts w:ascii="Times New Roman" w:hAnsi="Times New Roman"/>
        </w:rPr>
        <w:t>2016)</w:t>
      </w:r>
      <w:r w:rsidR="009835E5" w:rsidRPr="00662E40">
        <w:rPr>
          <w:rFonts w:ascii="Times New Roman" w:eastAsiaTheme="minorEastAsia" w:hAnsi="Times New Roman"/>
          <w:lang w:eastAsia="ko-KR"/>
        </w:rPr>
        <w:fldChar w:fldCharType="end"/>
      </w:r>
      <w:r w:rsidR="00BF1EFF" w:rsidRPr="00662E40">
        <w:rPr>
          <w:rFonts w:ascii="Times New Roman" w:eastAsiaTheme="minorEastAsia" w:hAnsi="Times New Roman"/>
          <w:lang w:eastAsia="ko-KR"/>
        </w:rPr>
        <w:t xml:space="preserve"> also </w:t>
      </w:r>
      <w:bookmarkEnd w:id="38"/>
      <w:r w:rsidR="00BF1EFF" w:rsidRPr="00662E40">
        <w:rPr>
          <w:rFonts w:ascii="Times New Roman" w:eastAsiaTheme="minorEastAsia" w:hAnsi="Times New Roman"/>
          <w:lang w:eastAsia="ko-KR"/>
        </w:rPr>
        <w:t xml:space="preserve">identified the lack of social companionship </w:t>
      </w:r>
      <w:r w:rsidR="00A509BB" w:rsidRPr="00662E40">
        <w:rPr>
          <w:rFonts w:ascii="Times New Roman" w:eastAsiaTheme="minorEastAsia" w:hAnsi="Times New Roman"/>
          <w:lang w:eastAsia="ko-KR"/>
        </w:rPr>
        <w:t xml:space="preserve">(SC) </w:t>
      </w:r>
      <w:r w:rsidR="00BF1EFF" w:rsidRPr="00662E40">
        <w:rPr>
          <w:rFonts w:ascii="Times New Roman" w:eastAsiaTheme="minorEastAsia" w:hAnsi="Times New Roman"/>
          <w:lang w:eastAsia="ko-KR"/>
        </w:rPr>
        <w:t xml:space="preserve">as a </w:t>
      </w:r>
      <w:r w:rsidR="00A509BB" w:rsidRPr="00662E40">
        <w:rPr>
          <w:rFonts w:ascii="Times New Roman" w:eastAsiaTheme="minorEastAsia" w:hAnsi="Times New Roman"/>
          <w:lang w:eastAsia="ko-KR"/>
        </w:rPr>
        <w:t xml:space="preserve">walking </w:t>
      </w:r>
      <w:r w:rsidR="00BF1EFF" w:rsidRPr="00662E40">
        <w:rPr>
          <w:rFonts w:ascii="Times New Roman" w:eastAsiaTheme="minorEastAsia" w:hAnsi="Times New Roman"/>
          <w:lang w:eastAsia="ko-KR"/>
        </w:rPr>
        <w:t>barrier for old</w:t>
      </w:r>
      <w:r w:rsidR="00596611" w:rsidRPr="00662E40">
        <w:rPr>
          <w:rFonts w:ascii="Times New Roman" w:eastAsiaTheme="minorEastAsia" w:hAnsi="Times New Roman"/>
          <w:lang w:eastAsia="ko-KR"/>
        </w:rPr>
        <w:t>er</w:t>
      </w:r>
      <w:r w:rsidR="00BF1EFF" w:rsidRPr="00662E40">
        <w:rPr>
          <w:rFonts w:ascii="Times New Roman" w:eastAsiaTheme="minorEastAsia" w:hAnsi="Times New Roman"/>
          <w:lang w:eastAsia="ko-KR"/>
        </w:rPr>
        <w:t xml:space="preserve"> adult</w:t>
      </w:r>
      <w:r w:rsidR="00A509BB" w:rsidRPr="00662E40">
        <w:rPr>
          <w:rFonts w:ascii="Times New Roman" w:eastAsiaTheme="minorEastAsia" w:hAnsi="Times New Roman"/>
          <w:lang w:eastAsia="ko-KR"/>
        </w:rPr>
        <w:t xml:space="preserve">s. The gender result appears more consistent with the pre-pandemic and after-COVID literature </w:t>
      </w:r>
      <w:r w:rsidR="00E83311" w:rsidRPr="00662E40">
        <w:rPr>
          <w:rFonts w:ascii="Times New Roman" w:eastAsiaTheme="minorEastAsia" w:hAnsi="Times New Roman"/>
          <w:lang w:eastAsia="ko-KR"/>
        </w:rPr>
        <w:fldChar w:fldCharType="begin"/>
      </w:r>
      <w:r w:rsidR="00A571A6" w:rsidRPr="00662E40">
        <w:rPr>
          <w:rFonts w:ascii="Times New Roman" w:eastAsiaTheme="minorEastAsia" w:hAnsi="Times New Roman"/>
          <w:lang w:eastAsia="ko-KR"/>
        </w:rPr>
        <w:instrText xml:space="preserve"> ADDIN ZOTERO_ITEM CSL_CITATION {"citationID":"Kjnk48KA","properties":{"unsorted":true,"formattedCitation":"(Ri\\uc0\\u353{}ov\\uc0\\u225{} &amp; Sl\\uc0\\u225{}dekov\\uc0\\u225{} Madajov\\uc0\\u225{}, 2020; Hwang et al., 2023; Rodrigue et al., 2024)","plainCitation":"(Rišová &amp; Sládeková Madajová, 2020; Hwang et al., 2023; Rodrigue et al., 2024)","dontUpdate":true,"noteIndex":0},"citationItems":[{"id":747,"uris":["http://zotero.org/users/10132210/items/QDAFLZBN"],"itemData":{"id":747,"type":"article-journal","abstract":"Background: A safe environment has been widely accepted as one of the most important walkability predictors. However, the relation between perceived safety and walkability has not been well established. Aims: This paper focuses on quantitative aspects of the relation between perceived safety and walkability, as well as examining spatio-temporal patterns of fear-related areas, with a special emphasis on gender diﬀerences among adolescents. Data and methods: Data regarding walkability perception and safety perception was collected during a mapping exercise in primary and grammar schools in Banská Bystrica city (central Slovakia), with a ﬁnal sample of 303 adolescents (13–16 years old, 54% girls). In the experiment, pre-prepared reply forms and maps divided into a square ﬁshnet were used.\nResults: Regardless of the time of day, girls felt less safe in public spaces than boys did, especially in the city centre. In general, fear-related spaces for boys were more dispersed than for girls, whose perceived risky areas were more compact and spatially concentrated. Girls' perception of walkability was more aﬀected by feeling safe than that of boys, with fewer gender diﬀerences at night.\nConclusions: By mitigating and even eliminating threats observed by girls, gender diﬀerences in the perception of barriers to walking can be reduced.","container-title":"Journal of Transport Geography","DOI":"10.1016/j.jtrangeo.2020.102723","ISSN":"09666923","journalAbbreviation":"Journal of Transport Geography","language":"en","page":"102723","source":"DOI.org (Crossref)","title":"Gender differences in a walking environment safety perception: A case study in a small town of Banská Bystrica (Slovakia)","title-short":"Gender differences in a walking environment safety perception","volume":"85","author":[{"family":"Rišová","given":"Katarína"},{"family":"Sládeková Madajová","given":"Michala"}],"issued":{"date-parts":[["2020",5]]}}},{"id":968,"uris":["http://zotero.org/users/10132210/items/ZARTVWR5"],"itemData":{"id":968,"type":"article-journal","container-title":"Technical paper, Department of Civil, Architectural and Environmental Engineering, The University of Texas at Austin","title":"An analysis of walking frequency before and after the pandemic","author":[{"family":"Hwang","given":"Hyunjun"},{"family":"Haddad","given":"Angela"},{"family":"Batur","given":"Irfan"},{"family":"Saxena","given":"Shobhit"},{"family":"Pendyala","given":"Ram M"},{"family":"Bhat","given":"Chandra R"}],"issued":{"date-parts":[["2023"]]}}},{"id":1017,"uris":["http://zotero.org/users/10132210/items/QZDKKBMQ"],"itemData":{"id":1017,"type":"article-journal","abstract":"The concept of walkability encompasses a multitude of features of the built and social environments that impact walking behavior, leading to the creation of a wide range of walkability indices. While past studies have compared the research outputs from multiple walkability indices, little research has looked at how relevant each index is across sociodemographic groups and how the relationship between sociodemographic characteristics and behavior vary from one index to another. Using trip data from Montr´eal, Canada, this paper evaluates two commonly used walkability indices at different scales – Walk Score© (meso-scale) and the MAPS-Mini audit tool (micro-scale) – and their interactions with sociodemographic characteristics. Weighted binary logistic re­ gressions are used to model the probability of adults taking a homebased utilitarian walking trip. A total of ten models are generated, including eight models in which one of four socio-demographic variables – gender, age, household income, and presence of children below 13 years old in the household – is interacted with one of the two walkability indices. Sensitivity analyses are then conducted using the interaction variables' outputs by varying the values of the interacted sociodemographic variable. Results show significant interactions for all variables for both indices except from Walk Score©’s interaction with gender. Opposite effects are observed between the two indices in the sensitivity analysis for household income. The differential results observed be­ tween the indices and between sociodemographic groups underscore the need to properly test the equity implication of using certain walkability measures in research.","container-title":"Journal of Transport Geography","DOI":"10.1016/j.jtrangeo.2023.103788","ISSN":"09666923","journalAbbreviation":"Journal of Transport Geography","language":"en","page":"103788","source":"DOI.org (Crossref)","title":"Sociodemographic matters: Analyzing interactions of individuals' characteristics with walkability when modelling walking behavior","title-short":"Sociodemographic matters","volume":"114","author":[{"family":"Rodrigue","given":"Lancelot"},{"family":"El-Geneidy","given":"Ahmed"},{"family":"Manaugh","given":"Kevin"}],"issued":{"date-parts":[["2024",1]]}}}],"schema":"https://github.com/citation-style-language/schema/raw/master/csl-citation.json"} </w:instrText>
      </w:r>
      <w:r w:rsidR="00E83311" w:rsidRPr="00662E40">
        <w:rPr>
          <w:rFonts w:ascii="Times New Roman" w:eastAsiaTheme="minorEastAsia" w:hAnsi="Times New Roman"/>
          <w:lang w:eastAsia="ko-KR"/>
        </w:rPr>
        <w:fldChar w:fldCharType="separate"/>
      </w:r>
      <w:r w:rsidR="00626728" w:rsidRPr="00662E40">
        <w:rPr>
          <w:rFonts w:ascii="Times New Roman" w:hAnsi="Times New Roman"/>
        </w:rPr>
        <w:t>(</w:t>
      </w:r>
      <w:r w:rsidR="00626728" w:rsidRPr="00662E40">
        <w:rPr>
          <w:rFonts w:ascii="Times New Roman" w:eastAsiaTheme="minorEastAsia" w:hAnsi="Times New Roman"/>
          <w:lang w:eastAsia="ko-KR"/>
        </w:rPr>
        <w:t xml:space="preserve">see, for example, </w:t>
      </w:r>
      <w:r w:rsidR="00626728" w:rsidRPr="00662E40">
        <w:rPr>
          <w:rFonts w:ascii="Times New Roman" w:hAnsi="Times New Roman"/>
        </w:rPr>
        <w:t xml:space="preserve">Rišová </w:t>
      </w:r>
      <w:r w:rsidR="003406F9" w:rsidRPr="00662E40">
        <w:rPr>
          <w:rFonts w:ascii="Times New Roman" w:eastAsiaTheme="minorEastAsia" w:hAnsi="Times New Roman"/>
          <w:lang w:eastAsia="ko-KR"/>
        </w:rPr>
        <w:t>and</w:t>
      </w:r>
      <w:r w:rsidR="00626728" w:rsidRPr="00662E40">
        <w:rPr>
          <w:rFonts w:ascii="Times New Roman" w:hAnsi="Times New Roman"/>
        </w:rPr>
        <w:t xml:space="preserve"> Sládeková Madajová, 2020; Hwang et al., 2023; Rodrigue et al., 2024)</w:t>
      </w:r>
      <w:r w:rsidR="00E83311" w:rsidRPr="00662E40">
        <w:rPr>
          <w:rFonts w:ascii="Times New Roman" w:eastAsiaTheme="minorEastAsia" w:hAnsi="Times New Roman"/>
          <w:lang w:eastAsia="ko-KR"/>
        </w:rPr>
        <w:fldChar w:fldCharType="end"/>
      </w:r>
      <w:r w:rsidR="00626728" w:rsidRPr="00662E40">
        <w:rPr>
          <w:rFonts w:ascii="Times New Roman" w:eastAsiaTheme="minorEastAsia" w:hAnsi="Times New Roman"/>
          <w:lang w:eastAsia="ko-KR"/>
        </w:rPr>
        <w:t xml:space="preserve">, </w:t>
      </w:r>
      <w:r w:rsidR="00755C9B" w:rsidRPr="00662E40">
        <w:rPr>
          <w:rFonts w:ascii="Times New Roman" w:eastAsiaTheme="minorEastAsia" w:hAnsi="Times New Roman"/>
          <w:lang w:eastAsia="ko-KR"/>
        </w:rPr>
        <w:t xml:space="preserve">perhaps a reflection of heightened harassment and security concerns. </w:t>
      </w:r>
      <w:r w:rsidR="00A509BB" w:rsidRPr="00662E40">
        <w:rPr>
          <w:rFonts w:ascii="Times New Roman" w:eastAsiaTheme="minorEastAsia" w:hAnsi="Times New Roman"/>
          <w:lang w:eastAsia="ko-KR"/>
        </w:rPr>
        <w:t xml:space="preserve"> </w:t>
      </w:r>
    </w:p>
    <w:p w14:paraId="7B60634C" w14:textId="652ED4A5" w:rsidR="00C413E9" w:rsidRPr="00662E40" w:rsidRDefault="00815252" w:rsidP="00662E40">
      <w:pPr>
        <w:autoSpaceDE w:val="0"/>
        <w:autoSpaceDN w:val="0"/>
        <w:adjustRightInd w:val="0"/>
        <w:ind w:firstLine="720"/>
        <w:jc w:val="both"/>
        <w:rPr>
          <w:rFonts w:ascii="Times New Roman" w:eastAsiaTheme="minorEastAsia" w:hAnsi="Times New Roman"/>
          <w:lang w:eastAsia="ko-KR"/>
        </w:rPr>
      </w:pPr>
      <w:r w:rsidRPr="00662E40">
        <w:rPr>
          <w:rFonts w:ascii="Times New Roman" w:eastAsiaTheme="minorEastAsia" w:hAnsi="Times New Roman"/>
          <w:lang w:eastAsia="ko-KR"/>
        </w:rPr>
        <w:t xml:space="preserve">Black and employed older adults </w:t>
      </w:r>
      <w:r w:rsidR="00755C9B" w:rsidRPr="00662E40">
        <w:rPr>
          <w:rFonts w:ascii="Times New Roman" w:eastAsiaTheme="minorEastAsia" w:hAnsi="Times New Roman"/>
          <w:lang w:eastAsia="ko-KR"/>
        </w:rPr>
        <w:t xml:space="preserve">appear to have a lower propensity to </w:t>
      </w:r>
      <w:r w:rsidR="00E572BA" w:rsidRPr="00662E40">
        <w:rPr>
          <w:rFonts w:ascii="Times New Roman" w:eastAsiaTheme="minorEastAsia" w:hAnsi="Times New Roman"/>
          <w:lang w:eastAsia="ko-KR"/>
        </w:rPr>
        <w:t>walk with others</w:t>
      </w:r>
      <w:r w:rsidR="00F24EE2" w:rsidRPr="00662E40">
        <w:rPr>
          <w:rFonts w:ascii="Times New Roman" w:eastAsiaTheme="minorEastAsia" w:hAnsi="Times New Roman"/>
          <w:lang w:eastAsia="ko-KR"/>
        </w:rPr>
        <w:t xml:space="preserve">. </w:t>
      </w:r>
      <w:r w:rsidR="00E572BA" w:rsidRPr="00662E40">
        <w:rPr>
          <w:rFonts w:ascii="Times New Roman" w:eastAsiaTheme="minorEastAsia" w:hAnsi="Times New Roman"/>
          <w:lang w:eastAsia="ko-KR"/>
        </w:rPr>
        <w:t xml:space="preserve">Although literature examining the relationship between walking companionship propensity and race is limited, previous studies by </w:t>
      </w:r>
      <w:bookmarkStart w:id="39" w:name="_Hlk169967840"/>
      <w:r w:rsidR="00E572BA" w:rsidRPr="00662E40">
        <w:rPr>
          <w:rFonts w:ascii="Times New Roman" w:eastAsiaTheme="minorEastAsia" w:hAnsi="Times New Roman"/>
          <w:lang w:eastAsia="ko-KR"/>
        </w:rPr>
        <w:fldChar w:fldCharType="begin"/>
      </w:r>
      <w:r w:rsidR="00E572BA" w:rsidRPr="00662E40">
        <w:rPr>
          <w:rFonts w:ascii="Times New Roman" w:eastAsiaTheme="minorEastAsia" w:hAnsi="Times New Roman"/>
          <w:lang w:eastAsia="ko-KR"/>
        </w:rPr>
        <w:instrText xml:space="preserve"> ADDIN ZOTERO_ITEM CSL_CITATION {"citationID":"cLEsSYbV","properties":{"formattedCitation":"(Wen et al., 2007)","plainCitation":"(Wen et al., 2007)","dontUpdate":true,"noteIndex":0},"citationItems":[{"id":1037,"uris":["http://zotero.org/users/10132210/items/6EGKLCUW"],"itemData":{"id":1037,"type":"article-journal","abstract":"BACKGROUND: Patients are often advised to initiate a physical activity program by walking for transportation or leisure. This study explored whether neighborhood factors beyond the individual might affect compliance.\nOBJECTIVE: We examined the associations between total walking and neighborhood factors in a multiethnic population-based sample in California and the roles race/ethnicity plays in these associations. DESIGN: Cross-sectional study PARTICIPANTS: Individual-level data were obtained from the 2003 California Health Interview Survey. Participants’ census tracts were linked to Census 2000 data to capture neighborhood SES.\nMEASUREMENTS AND MAIN RESULTS: The dependent variable was self-reported walking at recommended levels. Neighborhood SES was measured by a scale of 4 Census-based variables (alpha=0.83). Social cohesion was measured by a scale tapping the extent of perceived social connectedness, trust, and solidarity among neighbors (alpha=0.70). Neighborhood access to a park, playground, or open space was measured by a single item. Safety was measured by a scale of three items (alpha=0.66). We performed a series of multiple logit models with robust variance estimates while taking complex survey design into account. Neighborhood social cohesion (odds ratio [OR]=1.09, 95% CI= 1.04, 1.14) and access to a park, playground, or open space (OR=1.26, 95% CI=1.16, 1.36) were significant environmental correlates of walking at recommended levels, independent of individual socio-demographics. Subgroup analysis showed that neighborhood effects were different by race/ethnicity.\nCONCLUSIONS: Neighborhood physical and social environmental factors are significantly associated with walking at recommended levels. Being aware of the ways that the environment could affect a patient’s compliance with PA recommendations may help physicians tailor recommendations to circumstances.","container-title":"Journal of General Internal Medicine","DOI":"10.1007/s11606-007-0400-4","ISSN":"0884-8734, 1525-1497","issue":"12","journalAbbreviation":"J GEN INTERN MED","language":"en","license":"http://www.springer.com/tdm","page":"1674-1680","source":"DOI.org (Crossref)","title":"Walking for Transportation or Leisure: What Difference Does the Neighborhood Make?","title-short":"Walking for Transportation or Leisure","volume":"22","author":[{"family":"Wen","given":"Ming"},{"family":"Kandula","given":"Namratha R."},{"family":"Lauderdale","given":"Diane S."}],"issued":{"date-parts":[["2007",11,16]]}}}],"schema":"https://github.com/citation-style-language/schema/raw/master/csl-citation.json"} </w:instrText>
      </w:r>
      <w:r w:rsidR="00E572BA" w:rsidRPr="00662E40">
        <w:rPr>
          <w:rFonts w:ascii="Times New Roman" w:eastAsiaTheme="minorEastAsia" w:hAnsi="Times New Roman"/>
          <w:lang w:eastAsia="ko-KR"/>
        </w:rPr>
        <w:fldChar w:fldCharType="separate"/>
      </w:r>
      <w:r w:rsidR="00E572BA" w:rsidRPr="00662E40">
        <w:rPr>
          <w:rFonts w:ascii="Times New Roman" w:hAnsi="Times New Roman"/>
        </w:rPr>
        <w:t xml:space="preserve">Wen et al. </w:t>
      </w:r>
      <w:r w:rsidR="00E572BA" w:rsidRPr="00662E40">
        <w:rPr>
          <w:rFonts w:ascii="Times New Roman" w:eastAsiaTheme="minorEastAsia" w:hAnsi="Times New Roman"/>
          <w:lang w:eastAsia="ko-KR"/>
        </w:rPr>
        <w:t>(</w:t>
      </w:r>
      <w:r w:rsidR="00E572BA" w:rsidRPr="00662E40">
        <w:rPr>
          <w:rFonts w:ascii="Times New Roman" w:hAnsi="Times New Roman"/>
        </w:rPr>
        <w:t>2007</w:t>
      </w:r>
      <w:r w:rsidR="00E572BA" w:rsidRPr="00662E40">
        <w:rPr>
          <w:rFonts w:ascii="Times New Roman" w:eastAsiaTheme="minorEastAsia" w:hAnsi="Times New Roman"/>
          <w:lang w:eastAsia="ko-KR"/>
        </w:rPr>
        <w:fldChar w:fldCharType="end"/>
      </w:r>
      <w:r w:rsidR="00E572BA" w:rsidRPr="00662E40">
        <w:rPr>
          <w:rFonts w:ascii="Times New Roman" w:eastAsiaTheme="minorEastAsia" w:hAnsi="Times New Roman"/>
          <w:lang w:eastAsia="ko-KR"/>
        </w:rPr>
        <w:t xml:space="preserve">) and </w:t>
      </w:r>
      <w:r w:rsidR="00E572BA" w:rsidRPr="00662E40">
        <w:rPr>
          <w:rFonts w:ascii="Times New Roman" w:eastAsiaTheme="minorEastAsia" w:hAnsi="Times New Roman"/>
          <w:lang w:eastAsia="ko-KR"/>
        </w:rPr>
        <w:fldChar w:fldCharType="begin"/>
      </w:r>
      <w:r w:rsidR="00E572BA" w:rsidRPr="00662E40">
        <w:rPr>
          <w:rFonts w:ascii="Times New Roman" w:eastAsiaTheme="minorEastAsia" w:hAnsi="Times New Roman"/>
          <w:lang w:eastAsia="ko-KR"/>
        </w:rPr>
        <w:instrText xml:space="preserve"> ADDIN ZOTERO_ITEM CSL_CITATION {"citationID":"wPLxZl7h","properties":{"formattedCitation":"(Yi et al., 2016)","plainCitation":"(Yi et al., 2016)","dontUpdate":true,"noteIndex":0},"citationItems":[{"id":1039,"uris":["http://zotero.org/users/10132210/items/N8IF8UQT"],"itemData":{"id":1039,"type":"article-journal","container-title":"Preventing Chronic Disease","DOI":"10.5888/pcd13.160261","ISSN":"1545-1151","journalAbbreviation":"Prev. Chronic Dis.","language":"en","page":"160261","source":"DOI.org (Crossref)","title":"Racial/Ethnic Differences in Associations Between Neighborhood Social Cohesion and Meeting Physical Activity Guidelines, United States, 2013–2014","volume":"13","author":[{"family":"Yi","given":"Stella S."},{"family":"Trinh-Shevrin","given":"Chau"},{"family":"Yen","given":"Irene H."},{"family":"Kwon","given":"Simona C."}],"issued":{"date-parts":[["2016",12,8]]}}}],"schema":"https://github.com/citation-style-language/schema/raw/master/csl-citation.json"} </w:instrText>
      </w:r>
      <w:r w:rsidR="00E572BA" w:rsidRPr="00662E40">
        <w:rPr>
          <w:rFonts w:ascii="Times New Roman" w:eastAsiaTheme="minorEastAsia" w:hAnsi="Times New Roman"/>
          <w:lang w:eastAsia="ko-KR"/>
        </w:rPr>
        <w:fldChar w:fldCharType="separate"/>
      </w:r>
      <w:r w:rsidR="00E572BA" w:rsidRPr="00662E40">
        <w:rPr>
          <w:rFonts w:ascii="Times New Roman" w:hAnsi="Times New Roman"/>
        </w:rPr>
        <w:t xml:space="preserve">Yi et al. </w:t>
      </w:r>
      <w:r w:rsidR="00E572BA" w:rsidRPr="00662E40">
        <w:rPr>
          <w:rFonts w:ascii="Times New Roman" w:eastAsiaTheme="minorEastAsia" w:hAnsi="Times New Roman"/>
          <w:lang w:eastAsia="ko-KR"/>
        </w:rPr>
        <w:t>(</w:t>
      </w:r>
      <w:r w:rsidR="00E572BA" w:rsidRPr="00662E40">
        <w:rPr>
          <w:rFonts w:ascii="Times New Roman" w:hAnsi="Times New Roman"/>
        </w:rPr>
        <w:t>2016)</w:t>
      </w:r>
      <w:r w:rsidR="00E572BA" w:rsidRPr="00662E40">
        <w:rPr>
          <w:rFonts w:ascii="Times New Roman" w:eastAsiaTheme="minorEastAsia" w:hAnsi="Times New Roman"/>
          <w:lang w:eastAsia="ko-KR"/>
        </w:rPr>
        <w:fldChar w:fldCharType="end"/>
      </w:r>
      <w:r w:rsidR="00E572BA" w:rsidRPr="00662E40">
        <w:rPr>
          <w:rFonts w:ascii="Times New Roman" w:eastAsiaTheme="minorEastAsia" w:hAnsi="Times New Roman"/>
          <w:lang w:eastAsia="ko-KR"/>
        </w:rPr>
        <w:t xml:space="preserve"> </w:t>
      </w:r>
      <w:bookmarkEnd w:id="39"/>
      <w:r w:rsidR="00E572BA" w:rsidRPr="00662E40">
        <w:rPr>
          <w:rFonts w:ascii="Times New Roman" w:eastAsiaTheme="minorEastAsia" w:hAnsi="Times New Roman"/>
          <w:lang w:eastAsia="ko-KR"/>
        </w:rPr>
        <w:t>have reported that Blacks do not exhibit a positive correlation between neighborhood social cohesion and</w:t>
      </w:r>
      <w:r w:rsidR="00F048CB" w:rsidRPr="00662E40">
        <w:rPr>
          <w:rFonts w:ascii="Times New Roman" w:eastAsiaTheme="minorEastAsia" w:hAnsi="Times New Roman"/>
          <w:lang w:eastAsia="ko-KR"/>
        </w:rPr>
        <w:t xml:space="preserve"> </w:t>
      </w:r>
      <w:r w:rsidR="00E572BA" w:rsidRPr="00662E40">
        <w:rPr>
          <w:rFonts w:ascii="Times New Roman" w:eastAsiaTheme="minorEastAsia" w:hAnsi="Times New Roman"/>
          <w:lang w:eastAsia="ko-KR"/>
        </w:rPr>
        <w:t>aerobic physical activity.</w:t>
      </w:r>
      <w:r w:rsidR="00F048CB" w:rsidRPr="00662E40">
        <w:rPr>
          <w:rStyle w:val="FootnoteReference"/>
          <w:rFonts w:ascii="Times New Roman" w:eastAsiaTheme="minorEastAsia" w:hAnsi="Times New Roman"/>
          <w:lang w:eastAsia="ko-KR"/>
        </w:rPr>
        <w:footnoteReference w:id="6"/>
      </w:r>
      <w:r w:rsidR="00E572BA" w:rsidRPr="00662E40">
        <w:rPr>
          <w:rFonts w:ascii="Times New Roman" w:eastAsiaTheme="minorEastAsia" w:hAnsi="Times New Roman"/>
          <w:lang w:eastAsia="ko-KR"/>
        </w:rPr>
        <w:t xml:space="preserve"> </w:t>
      </w:r>
      <w:r w:rsidR="00755C9B" w:rsidRPr="00662E40">
        <w:rPr>
          <w:rFonts w:ascii="Times New Roman" w:eastAsiaTheme="minorEastAsia" w:hAnsi="Times New Roman"/>
          <w:lang w:eastAsia="ko-KR"/>
        </w:rPr>
        <w:t xml:space="preserve">The </w:t>
      </w:r>
      <w:r w:rsidRPr="00662E40">
        <w:rPr>
          <w:rFonts w:ascii="Times New Roman" w:eastAsiaTheme="minorEastAsia" w:hAnsi="Times New Roman"/>
          <w:lang w:eastAsia="ko-KR"/>
        </w:rPr>
        <w:t xml:space="preserve">disinclination </w:t>
      </w:r>
      <w:r w:rsidR="00755C9B" w:rsidRPr="00662E40">
        <w:rPr>
          <w:rFonts w:ascii="Times New Roman" w:eastAsiaTheme="minorEastAsia" w:hAnsi="Times New Roman"/>
          <w:lang w:eastAsia="ko-KR"/>
        </w:rPr>
        <w:t>of employ</w:t>
      </w:r>
      <w:r w:rsidR="00F048CB" w:rsidRPr="00662E40">
        <w:rPr>
          <w:rFonts w:ascii="Times New Roman" w:eastAsiaTheme="minorEastAsia" w:hAnsi="Times New Roman"/>
          <w:lang w:eastAsia="ko-KR"/>
        </w:rPr>
        <w:t xml:space="preserve">ed </w:t>
      </w:r>
      <w:r w:rsidR="00755C9B" w:rsidRPr="00662E40">
        <w:rPr>
          <w:rFonts w:ascii="Times New Roman" w:eastAsiaTheme="minorEastAsia" w:hAnsi="Times New Roman"/>
          <w:lang w:eastAsia="ko-KR"/>
        </w:rPr>
        <w:t>old</w:t>
      </w:r>
      <w:r w:rsidRPr="00662E40">
        <w:rPr>
          <w:rFonts w:ascii="Times New Roman" w:eastAsiaTheme="minorEastAsia" w:hAnsi="Times New Roman"/>
          <w:lang w:eastAsia="ko-KR"/>
        </w:rPr>
        <w:t>er</w:t>
      </w:r>
      <w:r w:rsidR="00755C9B" w:rsidRPr="00662E40">
        <w:rPr>
          <w:rFonts w:ascii="Times New Roman" w:eastAsiaTheme="minorEastAsia" w:hAnsi="Times New Roman"/>
          <w:lang w:eastAsia="ko-KR"/>
        </w:rPr>
        <w:t xml:space="preserve"> adults to </w:t>
      </w:r>
      <w:r w:rsidR="00F048CB" w:rsidRPr="00662E40">
        <w:rPr>
          <w:rFonts w:ascii="Times New Roman" w:eastAsiaTheme="minorEastAsia" w:hAnsi="Times New Roman"/>
          <w:lang w:eastAsia="ko-KR"/>
        </w:rPr>
        <w:t xml:space="preserve">walk in company </w:t>
      </w:r>
      <w:r w:rsidR="00755C9B" w:rsidRPr="00662E40">
        <w:rPr>
          <w:rFonts w:ascii="Times New Roman" w:eastAsiaTheme="minorEastAsia" w:hAnsi="Times New Roman"/>
          <w:lang w:eastAsia="ko-KR"/>
        </w:rPr>
        <w:t>may be due to challenges in coordinati</w:t>
      </w:r>
      <w:r w:rsidR="00F048CB" w:rsidRPr="00662E40">
        <w:rPr>
          <w:rFonts w:ascii="Times New Roman" w:eastAsiaTheme="minorEastAsia" w:hAnsi="Times New Roman"/>
          <w:lang w:eastAsia="ko-KR"/>
        </w:rPr>
        <w:t xml:space="preserve">on </w:t>
      </w:r>
      <w:r w:rsidR="00755C9B" w:rsidRPr="00662E40">
        <w:rPr>
          <w:rFonts w:ascii="Times New Roman" w:eastAsiaTheme="minorEastAsia" w:hAnsi="Times New Roman"/>
          <w:lang w:eastAsia="ko-KR"/>
        </w:rPr>
        <w:t>given work schedules.</w:t>
      </w:r>
      <w:r w:rsidR="00D34264" w:rsidRPr="00662E40">
        <w:rPr>
          <w:rFonts w:ascii="Times New Roman" w:eastAsiaTheme="minorEastAsia" w:hAnsi="Times New Roman"/>
          <w:lang w:eastAsia="ko-KR"/>
        </w:rPr>
        <w:t xml:space="preserve"> </w:t>
      </w:r>
      <w:r w:rsidR="00B4014F" w:rsidRPr="00662E40">
        <w:rPr>
          <w:rFonts w:ascii="Times New Roman" w:eastAsiaTheme="minorEastAsia" w:hAnsi="Times New Roman"/>
          <w:lang w:eastAsia="ko-KR"/>
        </w:rPr>
        <w:t xml:space="preserve">Employment status also </w:t>
      </w:r>
      <w:r w:rsidR="00D34264" w:rsidRPr="00662E40">
        <w:rPr>
          <w:rFonts w:ascii="Times New Roman" w:eastAsiaTheme="minorEastAsia" w:hAnsi="Times New Roman"/>
          <w:lang w:eastAsia="ko-KR"/>
        </w:rPr>
        <w:t xml:space="preserve">directly and positively </w:t>
      </w:r>
      <w:r w:rsidR="001566C0" w:rsidRPr="00662E40">
        <w:rPr>
          <w:rFonts w:ascii="Times New Roman" w:eastAsiaTheme="minorEastAsia" w:hAnsi="Times New Roman"/>
          <w:lang w:eastAsia="ko-KR"/>
        </w:rPr>
        <w:t xml:space="preserve">influences </w:t>
      </w:r>
      <w:r w:rsidR="00F048CB" w:rsidRPr="00662E40">
        <w:rPr>
          <w:rFonts w:ascii="Times New Roman" w:eastAsiaTheme="minorEastAsia" w:hAnsi="Times New Roman"/>
          <w:lang w:eastAsia="ko-KR"/>
        </w:rPr>
        <w:t xml:space="preserve">the </w:t>
      </w:r>
      <w:r w:rsidR="00D34264" w:rsidRPr="00662E40">
        <w:rPr>
          <w:rFonts w:ascii="Times New Roman" w:eastAsiaTheme="minorEastAsia" w:hAnsi="Times New Roman"/>
          <w:lang w:eastAsia="ko-KR"/>
        </w:rPr>
        <w:t>propensity</w:t>
      </w:r>
      <w:r w:rsidR="00F048CB" w:rsidRPr="00662E40">
        <w:rPr>
          <w:rFonts w:ascii="Times New Roman" w:eastAsiaTheme="minorEastAsia" w:hAnsi="Times New Roman"/>
          <w:lang w:eastAsia="ko-KR"/>
        </w:rPr>
        <w:t xml:space="preserve"> to walk frequently</w:t>
      </w:r>
      <w:r w:rsidR="00D34264" w:rsidRPr="00662E40">
        <w:rPr>
          <w:rFonts w:ascii="Times New Roman" w:eastAsiaTheme="minorEastAsia" w:hAnsi="Times New Roman"/>
          <w:lang w:eastAsia="ko-KR"/>
        </w:rPr>
        <w:t>, though this effect is tempered through the negative indirect effect through SC on walk frequency</w:t>
      </w:r>
      <w:r w:rsidR="00D5645D" w:rsidRPr="00662E40">
        <w:rPr>
          <w:rFonts w:ascii="Times New Roman" w:eastAsiaTheme="minorEastAsia" w:hAnsi="Times New Roman"/>
          <w:lang w:eastAsia="ko-KR"/>
        </w:rPr>
        <w:t xml:space="preserve"> (SC impacts both</w:t>
      </w:r>
      <w:r w:rsidR="00596611" w:rsidRPr="00662E40">
        <w:rPr>
          <w:rFonts w:ascii="Times New Roman" w:eastAsiaTheme="minorEastAsia" w:hAnsi="Times New Roman"/>
          <w:lang w:eastAsia="ko-KR"/>
        </w:rPr>
        <w:t xml:space="preserve"> </w:t>
      </w:r>
      <w:r w:rsidR="00D5645D" w:rsidRPr="00662E40">
        <w:rPr>
          <w:rFonts w:ascii="Times New Roman" w:eastAsiaTheme="minorEastAsia" w:hAnsi="Times New Roman"/>
          <w:lang w:eastAsia="ko-KR"/>
        </w:rPr>
        <w:t>walk</w:t>
      </w:r>
      <w:r w:rsidR="00596611" w:rsidRPr="00662E40">
        <w:rPr>
          <w:rFonts w:ascii="Times New Roman" w:eastAsiaTheme="minorEastAsia" w:hAnsi="Times New Roman"/>
          <w:lang w:eastAsia="ko-KR"/>
        </w:rPr>
        <w:t>ing</w:t>
      </w:r>
      <w:r w:rsidR="00D5645D" w:rsidRPr="009F4115">
        <w:rPr>
          <w:rFonts w:ascii="Times New Roman" w:eastAsiaTheme="minorEastAsia" w:hAnsi="Times New Roman"/>
          <w:lang w:eastAsia="ko-KR"/>
        </w:rPr>
        <w:t xml:space="preserve"> frequen</w:t>
      </w:r>
      <w:r w:rsidR="00596611">
        <w:rPr>
          <w:rFonts w:ascii="Times New Roman" w:eastAsiaTheme="minorEastAsia" w:hAnsi="Times New Roman"/>
          <w:lang w:eastAsia="ko-KR"/>
        </w:rPr>
        <w:t>cy</w:t>
      </w:r>
      <w:r w:rsidR="00D5645D" w:rsidRPr="009F4115">
        <w:rPr>
          <w:rFonts w:ascii="Times New Roman" w:eastAsiaTheme="minorEastAsia" w:hAnsi="Times New Roman"/>
          <w:lang w:eastAsia="ko-KR"/>
        </w:rPr>
        <w:t xml:space="preserve"> and walk</w:t>
      </w:r>
      <w:r w:rsidR="00596611">
        <w:rPr>
          <w:rFonts w:ascii="Times New Roman" w:eastAsiaTheme="minorEastAsia" w:hAnsi="Times New Roman"/>
          <w:lang w:eastAsia="ko-KR"/>
        </w:rPr>
        <w:t>ing</w:t>
      </w:r>
      <w:r w:rsidR="00D5645D" w:rsidRPr="009F4115">
        <w:rPr>
          <w:rFonts w:ascii="Times New Roman" w:eastAsiaTheme="minorEastAsia" w:hAnsi="Times New Roman"/>
          <w:lang w:eastAsia="ko-KR"/>
        </w:rPr>
        <w:t xml:space="preserve"> duration positively, as we </w:t>
      </w:r>
      <w:r w:rsidR="00D5645D" w:rsidRPr="00587212">
        <w:rPr>
          <w:rFonts w:ascii="Times New Roman" w:eastAsiaTheme="minorEastAsia" w:hAnsi="Times New Roman"/>
          <w:lang w:eastAsia="ko-KR"/>
        </w:rPr>
        <w:t>discuss later</w:t>
      </w:r>
      <w:r w:rsidR="00057BAA" w:rsidRPr="00587212">
        <w:rPr>
          <w:rFonts w:ascii="Times New Roman" w:eastAsiaTheme="minorEastAsia" w:hAnsi="Times New Roman"/>
          <w:lang w:eastAsia="ko-KR"/>
        </w:rPr>
        <w:t xml:space="preserve">; the net effect of employment status on walk frequency will be individual-specific, though we provide a sense of the magnitude of this net overall effect in Section </w:t>
      </w:r>
      <w:r w:rsidR="00466833">
        <w:rPr>
          <w:rFonts w:ascii="Times New Roman" w:eastAsiaTheme="minorEastAsia" w:hAnsi="Times New Roman" w:hint="eastAsia"/>
          <w:lang w:eastAsia="ko-KR"/>
        </w:rPr>
        <w:t>5</w:t>
      </w:r>
      <w:r w:rsidR="00D5645D" w:rsidRPr="00587212">
        <w:rPr>
          <w:rFonts w:ascii="Times New Roman" w:eastAsiaTheme="minorEastAsia" w:hAnsi="Times New Roman"/>
          <w:lang w:eastAsia="ko-KR"/>
        </w:rPr>
        <w:t>)</w:t>
      </w:r>
      <w:r w:rsidR="00D34264" w:rsidRPr="00587212">
        <w:rPr>
          <w:rFonts w:ascii="Times New Roman" w:eastAsiaTheme="minorEastAsia" w:hAnsi="Times New Roman"/>
          <w:lang w:eastAsia="ko-KR"/>
        </w:rPr>
        <w:t xml:space="preserve">. </w:t>
      </w:r>
      <w:r w:rsidR="00F048CB" w:rsidRPr="00587212">
        <w:rPr>
          <w:rFonts w:ascii="Times New Roman" w:eastAsiaTheme="minorEastAsia" w:hAnsi="Times New Roman"/>
          <w:lang w:eastAsia="ko-KR"/>
        </w:rPr>
        <w:t>Regardless</w:t>
      </w:r>
      <w:r w:rsidR="00C413E9" w:rsidRPr="00587212">
        <w:rPr>
          <w:rFonts w:ascii="Times New Roman" w:eastAsiaTheme="minorEastAsia" w:hAnsi="Times New Roman"/>
          <w:lang w:eastAsia="ko-KR"/>
        </w:rPr>
        <w:t xml:space="preserve">, the positive direct employment status effect </w:t>
      </w:r>
      <w:r w:rsidR="00F048CB" w:rsidRPr="00587212">
        <w:rPr>
          <w:rFonts w:ascii="Times New Roman" w:eastAsiaTheme="minorEastAsia" w:hAnsi="Times New Roman"/>
          <w:lang w:eastAsia="ko-KR"/>
        </w:rPr>
        <w:t xml:space="preserve">on walk frequency propensity </w:t>
      </w:r>
      <w:r w:rsidR="00C413E9" w:rsidRPr="00587212">
        <w:rPr>
          <w:rFonts w:ascii="Times New Roman" w:eastAsiaTheme="minorEastAsia" w:hAnsi="Times New Roman"/>
          <w:lang w:eastAsia="ko-KR"/>
        </w:rPr>
        <w:t>is</w:t>
      </w:r>
      <w:r w:rsidR="00D5645D" w:rsidRPr="00587212">
        <w:rPr>
          <w:rFonts w:ascii="Times New Roman" w:eastAsiaTheme="minorEastAsia" w:hAnsi="Times New Roman"/>
          <w:lang w:eastAsia="ko-KR"/>
        </w:rPr>
        <w:t xml:space="preserve"> still</w:t>
      </w:r>
      <w:r w:rsidR="00C413E9" w:rsidRPr="00587212">
        <w:rPr>
          <w:rFonts w:ascii="Times New Roman" w:eastAsiaTheme="minorEastAsia" w:hAnsi="Times New Roman"/>
          <w:lang w:eastAsia="ko-KR"/>
        </w:rPr>
        <w:t xml:space="preserve"> intriguing, and contrary </w:t>
      </w:r>
      <w:r w:rsidR="00E572BA" w:rsidRPr="00587212">
        <w:rPr>
          <w:rFonts w:ascii="Times New Roman" w:eastAsiaTheme="minorEastAsia" w:hAnsi="Times New Roman"/>
          <w:lang w:eastAsia="ko-KR"/>
        </w:rPr>
        <w:t>to the findings of</w:t>
      </w:r>
      <w:r w:rsidR="00546D81" w:rsidRPr="00587212">
        <w:rPr>
          <w:rFonts w:ascii="Times New Roman" w:eastAsiaTheme="minorEastAsia" w:hAnsi="Times New Roman"/>
          <w:lang w:eastAsia="ko-KR"/>
        </w:rPr>
        <w:t xml:space="preserve"> </w:t>
      </w:r>
      <w:r w:rsidR="001F57F8" w:rsidRPr="00587212">
        <w:rPr>
          <w:rFonts w:ascii="Times New Roman" w:eastAsiaTheme="minorEastAsia" w:hAnsi="Times New Roman"/>
          <w:lang w:eastAsia="ko-KR"/>
        </w:rPr>
        <w:t xml:space="preserve">overall population </w:t>
      </w:r>
      <w:r w:rsidR="00E572BA" w:rsidRPr="00587212">
        <w:rPr>
          <w:rFonts w:ascii="Times New Roman" w:eastAsiaTheme="minorEastAsia" w:hAnsi="Times New Roman"/>
          <w:lang w:eastAsia="ko-KR"/>
        </w:rPr>
        <w:t xml:space="preserve">studies </w:t>
      </w:r>
      <w:r w:rsidR="00F048CB" w:rsidRPr="00587212">
        <w:rPr>
          <w:rFonts w:ascii="Times New Roman" w:eastAsiaTheme="minorEastAsia" w:hAnsi="Times New Roman"/>
          <w:lang w:eastAsia="ko-KR"/>
        </w:rPr>
        <w:t xml:space="preserve">suggesting that employment constrains the time for pursuing walking and other physical activities </w:t>
      </w:r>
      <w:r w:rsidR="002A0022" w:rsidRPr="00587212">
        <w:rPr>
          <w:rFonts w:ascii="Times New Roman" w:eastAsiaTheme="minorEastAsia" w:hAnsi="Times New Roman"/>
          <w:lang w:eastAsia="ko-KR"/>
        </w:rPr>
        <w:fldChar w:fldCharType="begin"/>
      </w:r>
      <w:r w:rsidR="002F0EF8" w:rsidRPr="00587212">
        <w:rPr>
          <w:rFonts w:ascii="Times New Roman" w:eastAsiaTheme="minorEastAsia" w:hAnsi="Times New Roman"/>
          <w:lang w:eastAsia="ko-KR"/>
        </w:rPr>
        <w:instrText xml:space="preserve"> ADDIN ZOTERO_ITEM CSL_CITATION {"citationID":"GC9KBb4e","properties":{"unsorted":true,"formattedCitation":"(S. Li et al., 2019; Hwang et al., 2023)","plainCitation":"(S. Li et al., 2019; Hwang et al., 2023)","dontUpdate":true,"noteIndex":0},"citationItems":[{"id":773,"uris":["http://zotero.org/users/10132210/items/G4PV2GJS"],"itemData":{"id":773,"type":"article-journal","abstract":"Walkable neighborhoods are promoted by urban planners and public health scholars as a way to encourage physical activity. This study explores the impact of perceptions and attitudes on walking in the historical neighborhood in downtown Beijing. It also examines how socioeconomic variations aﬀect perceptions and attitudes. The study found that residents’ perceptions and attitudes toward their built and social environment vary according to income, age, and employment status, and that they have signiﬁcant eﬀects on walking frequency. Sense of community was negatively correlated with recreational walking and positively correlated with walking as a means of transportation. Favorable perceptions of the built environment and community participation both had a positive eﬀect on recreational walking. Perceived health also inﬂuenced walking behavior. Younger, employed, and higher-income people were found to walk less than their counterparts. To promote a walkable and healthy community, city design factors and various strategies aimed at enhancing social cohesion among mixed socioeconomic groups should be taken into account.","container-title":"Transport Policy","DOI":"10.1016/j.tranpol.2018.10.005","ISSN":"0967070X","journalAbbreviation":"Transport Policy","language":"en","page":"1-11","source":"DOI.org (Crossref)","title":"Walking behavior in the old downtown Beijing: The impact of perceptions and attitudes and social variations","title-short":"Walking behavior in the old downtown Beijing","volume":"73","author":[{"family":"Li","given":"Shengxiao"},{"family":"Zhao","given":"Pengjun"},{"family":"Zhang","given":"He"},{"family":"Quan","given":"Jing"}],"issued":{"date-parts":[["2019",1]]}}},{"id":968,"uris":["http://zotero.org/users/10132210/items/ZARTVWR5"],"itemData":{"id":968,"type":"article-journal","container-title":"Technical paper, Department of Civil, Architectural and Environmental Engineering, The University of Texas at Austin","title":"An analysis of walking frequency before and after the pandemic","author":[{"family":"Hwang","given":"Hyunjun"},{"family":"Haddad","given":"Angela"},{"family":"Batur","given":"Irfan"},{"family":"Saxena","given":"Shobhit"},{"family":"Pendyala","given":"Ram M"},{"family":"Bhat","given":"Chandra R"}],"issued":{"date-parts":[["2023"]]}}}],"schema":"https://github.com/citation-style-language/schema/raw/master/csl-citation.json"} </w:instrText>
      </w:r>
      <w:r w:rsidR="002A0022" w:rsidRPr="00587212">
        <w:rPr>
          <w:rFonts w:ascii="Times New Roman" w:eastAsiaTheme="minorEastAsia" w:hAnsi="Times New Roman"/>
          <w:lang w:eastAsia="ko-KR"/>
        </w:rPr>
        <w:fldChar w:fldCharType="separate"/>
      </w:r>
      <w:r w:rsidR="006647D9" w:rsidRPr="00587212">
        <w:rPr>
          <w:rFonts w:ascii="Times New Roman" w:hAnsi="Times New Roman"/>
        </w:rPr>
        <w:t>(</w:t>
      </w:r>
      <w:r w:rsidR="00E572BA" w:rsidRPr="00587212">
        <w:rPr>
          <w:rFonts w:ascii="Times New Roman" w:hAnsi="Times New Roman"/>
        </w:rPr>
        <w:t>s</w:t>
      </w:r>
      <w:r w:rsidR="006647D9" w:rsidRPr="00587212">
        <w:rPr>
          <w:rFonts w:ascii="Times New Roman" w:hAnsi="Times New Roman"/>
        </w:rPr>
        <w:t>ee, Li et al., 2019</w:t>
      </w:r>
      <w:r w:rsidR="008525A0" w:rsidRPr="00587212">
        <w:rPr>
          <w:rFonts w:ascii="Times New Roman" w:eastAsiaTheme="minorEastAsia" w:hAnsi="Times New Roman"/>
          <w:lang w:eastAsia="ko-KR"/>
        </w:rPr>
        <w:t xml:space="preserve"> and </w:t>
      </w:r>
      <w:r w:rsidR="006647D9" w:rsidRPr="00587212">
        <w:rPr>
          <w:rFonts w:ascii="Times New Roman" w:hAnsi="Times New Roman"/>
        </w:rPr>
        <w:t>Hwang et al., 2023)</w:t>
      </w:r>
      <w:r w:rsidR="002A0022" w:rsidRPr="00587212">
        <w:rPr>
          <w:rFonts w:ascii="Times New Roman" w:eastAsiaTheme="minorEastAsia" w:hAnsi="Times New Roman"/>
          <w:lang w:eastAsia="ko-KR"/>
        </w:rPr>
        <w:fldChar w:fldCharType="end"/>
      </w:r>
      <w:r w:rsidR="00C413E9" w:rsidRPr="00587212">
        <w:rPr>
          <w:rFonts w:ascii="Times New Roman" w:eastAsiaTheme="minorEastAsia" w:hAnsi="Times New Roman"/>
          <w:lang w:eastAsia="ko-KR"/>
        </w:rPr>
        <w:t xml:space="preserve">. But one possible explanation for our result in older adults </w:t>
      </w:r>
      <w:r w:rsidR="001F57F8" w:rsidRPr="00587212">
        <w:rPr>
          <w:rFonts w:ascii="Times New Roman" w:eastAsiaTheme="minorEastAsia" w:hAnsi="Times New Roman"/>
          <w:lang w:eastAsia="ko-KR"/>
        </w:rPr>
        <w:t xml:space="preserve">specifically </w:t>
      </w:r>
      <w:r w:rsidR="00C413E9" w:rsidRPr="00587212">
        <w:rPr>
          <w:rFonts w:ascii="Times New Roman" w:eastAsiaTheme="minorEastAsia" w:hAnsi="Times New Roman"/>
          <w:lang w:eastAsia="ko-KR"/>
        </w:rPr>
        <w:t>is that employment may be viewed as a kind of social participation that promotes social networks and social support</w:t>
      </w:r>
      <w:r w:rsidR="009835E5" w:rsidRPr="00587212">
        <w:rPr>
          <w:rFonts w:ascii="Times New Roman" w:eastAsiaTheme="minorEastAsia" w:hAnsi="Times New Roman" w:hint="eastAsia"/>
          <w:lang w:eastAsia="ko-KR"/>
        </w:rPr>
        <w:t xml:space="preserve"> </w:t>
      </w:r>
      <w:r w:rsidR="009835E5" w:rsidRPr="00587212">
        <w:rPr>
          <w:rFonts w:ascii="Times New Roman" w:eastAsiaTheme="minorEastAsia" w:hAnsi="Times New Roman"/>
          <w:lang w:eastAsia="ko-KR"/>
        </w:rPr>
        <w:fldChar w:fldCharType="begin"/>
      </w:r>
      <w:r w:rsidR="009835E5" w:rsidRPr="00587212">
        <w:rPr>
          <w:rFonts w:ascii="Times New Roman" w:eastAsiaTheme="minorEastAsia" w:hAnsi="Times New Roman"/>
          <w:lang w:eastAsia="ko-KR"/>
        </w:rPr>
        <w:instrText xml:space="preserve"> ADDIN ZOTERO_ITEM CSL_CITATION {"citationID":"gPnyuSqF","properties":{"formattedCitation":"(Ihara et al., 2022)","plainCitation":"(Ihara et al., 2022)","noteIndex":0},"citationItems":[{"id":1215,"uris":["http://zotero.org/users/10132210/items/Y3FJCBYV"],"itemData":{"id":1215,"type":"article-journal","abstract":"Background:  Among all physical activities, walking is one of the easiest and most economical activities for older adults’ mental and physical health. Although promoting social participation may extend the walking time of older adults, the longitudinal relationship is not well understood. Thus, this study elucidates the relationship between nine types of social participation and change in walking time during a 3-year follow-up of older adults.\nMethods:  We conducted a 3-year community-based longitudinal study of independent older adults in Japan. From the 2016 and 2019 surveys, we extracted 57,042 individuals. We performed multiple regression analyses, estimating associations between change in walking time after three years and nine types of social participation in 2016: volunteer, sports, hobby, senior, neighborhood, learning, health, skills, and paid work. We conducted subgroup analysis stratified by walking time in 2016 (i.e., &lt; 60 or </w:instrText>
      </w:r>
      <w:r w:rsidR="009835E5" w:rsidRPr="00587212">
        <w:rPr>
          <w:rFonts w:ascii="Times New Roman" w:eastAsiaTheme="minorEastAsia" w:hAnsi="Times New Roman" w:hint="eastAsia"/>
          <w:lang w:eastAsia="ko-KR"/>
        </w:rPr>
        <w:instrText>≥</w:instrText>
      </w:r>
      <w:r w:rsidR="009835E5" w:rsidRPr="00587212">
        <w:rPr>
          <w:rFonts w:ascii="Times New Roman" w:eastAsiaTheme="minorEastAsia" w:hAnsi="Times New Roman"/>
          <w:lang w:eastAsia="ko-KR"/>
        </w:rPr>
        <w:instrText> 60 min/day).\nResults:  The mean (standard deviation) change in walking time for 3 years was − 4.04 (29.4) min/day. After adjusting potential confounders, the significant predictors of increasing or maintaining walking time (min/day) were participation in paid work (+ 3.02) in the &lt; 60 min/day subgroup; and volunteer (+ 2.15), sports (+ 2.89), hobby (+ 1.71), senior (+ 1.27), neighborhood (+ 1.70), learning (+ 1.65), health (+ 1.74), and skills (+ 1.95) in the </w:instrText>
      </w:r>
      <w:r w:rsidR="009835E5" w:rsidRPr="00587212">
        <w:rPr>
          <w:rFonts w:ascii="Times New Roman" w:eastAsiaTheme="minorEastAsia" w:hAnsi="Times New Roman" w:hint="eastAsia"/>
          <w:lang w:eastAsia="ko-KR"/>
        </w:rPr>
        <w:instrText>≥</w:instrText>
      </w:r>
      <w:r w:rsidR="009835E5" w:rsidRPr="00587212">
        <w:rPr>
          <w:rFonts w:ascii="Times New Roman" w:eastAsiaTheme="minorEastAsia" w:hAnsi="Times New Roman"/>
          <w:lang w:eastAsia="ko-KR"/>
        </w:rPr>
        <w:instrText> 60 min/day subgroup compared with non-participants.\nConclusions:  Paid work and community activities may be effective for maintaining or increasing walking time among older adults with less (&lt; 60 min/day) and sufficient (</w:instrText>
      </w:r>
      <w:r w:rsidR="009835E5" w:rsidRPr="00587212">
        <w:rPr>
          <w:rFonts w:ascii="Times New Roman" w:eastAsiaTheme="minorEastAsia" w:hAnsi="Times New Roman" w:hint="eastAsia"/>
          <w:lang w:eastAsia="ko-KR"/>
        </w:rPr>
        <w:instrText>≥</w:instrText>
      </w:r>
      <w:r w:rsidR="009835E5" w:rsidRPr="00587212">
        <w:rPr>
          <w:rFonts w:ascii="Times New Roman" w:eastAsiaTheme="minorEastAsia" w:hAnsi="Times New Roman"/>
          <w:lang w:eastAsia="ko-KR"/>
        </w:rPr>
        <w:instrText xml:space="preserve"> 60 min/day) walking time, respectively.","container-title":"BMC Geriatrics","DOI":"10.1186/s12877-022-02874-2","ISSN":"1471-2318","issue":"1","journalAbbreviation":"BMC Geriatr","language":"en","page":"238","source":"DOI.org (Crossref)","title":"Social participation and change in walking time among older adults: a 3-year longitudinal study from the JAGES","title-short":"Social participation and change in walking time among older adults","volume":"22","author":[{"family":"Ihara","given":"Shiichi"},{"family":"Ide","given":"Kazushige"},{"family":"Kanamori","given":"Satoru"},{"family":"Tsuji","given":"Taishi"},{"family":"Kondo","given":"Katsunori"},{"family":"Iizuka","given":"Gemmei"}],"issued":{"date-parts":[["2022",12]]}}}],"schema":"https://github.com/citation-style-language/schema/raw/master/csl-citation.json"} </w:instrText>
      </w:r>
      <w:r w:rsidR="009835E5" w:rsidRPr="00587212">
        <w:rPr>
          <w:rFonts w:ascii="Times New Roman" w:eastAsiaTheme="minorEastAsia" w:hAnsi="Times New Roman"/>
          <w:lang w:eastAsia="ko-KR"/>
        </w:rPr>
        <w:fldChar w:fldCharType="separate"/>
      </w:r>
      <w:r w:rsidR="009835E5" w:rsidRPr="00587212">
        <w:rPr>
          <w:rFonts w:ascii="Times New Roman" w:hAnsi="Times New Roman"/>
        </w:rPr>
        <w:t>(Ihara et al., 2022)</w:t>
      </w:r>
      <w:r w:rsidR="009835E5" w:rsidRPr="00587212">
        <w:rPr>
          <w:rFonts w:ascii="Times New Roman" w:eastAsiaTheme="minorEastAsia" w:hAnsi="Times New Roman"/>
          <w:lang w:eastAsia="ko-KR"/>
        </w:rPr>
        <w:fldChar w:fldCharType="end"/>
      </w:r>
      <w:r w:rsidR="00FE5801" w:rsidRPr="00587212">
        <w:rPr>
          <w:rFonts w:ascii="Times New Roman" w:eastAsiaTheme="minorEastAsia" w:hAnsi="Times New Roman"/>
          <w:lang w:eastAsia="ko-KR"/>
        </w:rPr>
        <w:t>,</w:t>
      </w:r>
      <w:r w:rsidR="00C413E9" w:rsidRPr="00587212">
        <w:rPr>
          <w:rFonts w:ascii="Times New Roman" w:eastAsiaTheme="minorEastAsia" w:hAnsi="Times New Roman"/>
          <w:lang w:eastAsia="ko-KR"/>
        </w:rPr>
        <w:t xml:space="preserve"> and thus provides for</w:t>
      </w:r>
      <w:r w:rsidR="00C413E9" w:rsidRPr="00794C73">
        <w:rPr>
          <w:rFonts w:ascii="Times New Roman" w:eastAsiaTheme="minorEastAsia" w:hAnsi="Times New Roman"/>
          <w:lang w:eastAsia="ko-KR"/>
        </w:rPr>
        <w:t xml:space="preserve"> more self-efficacy and confidence in older adults to pursue walking and other physical activity. </w:t>
      </w:r>
    </w:p>
    <w:p w14:paraId="01ABD469" w14:textId="23366D6A" w:rsidR="00C33772" w:rsidRDefault="00853655" w:rsidP="00662E40">
      <w:pPr>
        <w:ind w:firstLine="720"/>
        <w:jc w:val="both"/>
        <w:rPr>
          <w:rFonts w:eastAsiaTheme="minorEastAsia"/>
          <w:lang w:eastAsia="ko-KR"/>
        </w:rPr>
      </w:pPr>
      <w:r>
        <w:rPr>
          <w:rFonts w:eastAsiaTheme="minorEastAsia"/>
          <w:lang w:eastAsia="ko-KR"/>
        </w:rPr>
        <w:t xml:space="preserve">Older adults </w:t>
      </w:r>
      <w:r w:rsidR="00474808">
        <w:rPr>
          <w:rFonts w:eastAsiaTheme="minorEastAsia" w:hint="eastAsia"/>
          <w:lang w:eastAsia="ko-KR"/>
        </w:rPr>
        <w:t xml:space="preserve">living </w:t>
      </w:r>
      <w:r w:rsidR="006B2171">
        <w:rPr>
          <w:rFonts w:eastAsiaTheme="minorEastAsia" w:hint="eastAsia"/>
          <w:lang w:eastAsia="ko-KR"/>
        </w:rPr>
        <w:t xml:space="preserve">alone </w:t>
      </w:r>
      <w:r w:rsidR="007434DB">
        <w:rPr>
          <w:rFonts w:eastAsiaTheme="minorEastAsia"/>
          <w:lang w:eastAsia="ko-KR"/>
        </w:rPr>
        <w:t xml:space="preserve">have the lowest propensity to walk with a companion relative to their peers in other household </w:t>
      </w:r>
      <w:r w:rsidR="007434DB" w:rsidRPr="00587212">
        <w:rPr>
          <w:rFonts w:eastAsiaTheme="minorEastAsia"/>
          <w:lang w:eastAsia="ko-KR"/>
        </w:rPr>
        <w:t xml:space="preserve">arrangements, which is intuitive given </w:t>
      </w:r>
      <w:r w:rsidR="006B2171" w:rsidRPr="00587212">
        <w:rPr>
          <w:rFonts w:eastAsiaTheme="minorEastAsia"/>
          <w:lang w:eastAsia="ko-KR"/>
        </w:rPr>
        <w:t xml:space="preserve">the absence of another adult </w:t>
      </w:r>
      <w:r w:rsidR="007434DB" w:rsidRPr="00587212">
        <w:rPr>
          <w:rFonts w:eastAsiaTheme="minorEastAsia"/>
          <w:lang w:eastAsia="ko-KR"/>
        </w:rPr>
        <w:t xml:space="preserve">or child who could </w:t>
      </w:r>
      <w:r w:rsidR="006B2171" w:rsidRPr="00587212">
        <w:rPr>
          <w:rFonts w:eastAsiaTheme="minorEastAsia"/>
          <w:lang w:eastAsia="ko-KR"/>
        </w:rPr>
        <w:t>serv</w:t>
      </w:r>
      <w:r w:rsidR="007434DB" w:rsidRPr="00587212">
        <w:rPr>
          <w:rFonts w:eastAsiaTheme="minorEastAsia"/>
          <w:lang w:eastAsia="ko-KR"/>
        </w:rPr>
        <w:t xml:space="preserve">e </w:t>
      </w:r>
      <w:r w:rsidR="006B2171" w:rsidRPr="00587212">
        <w:rPr>
          <w:rFonts w:eastAsiaTheme="minorEastAsia"/>
          <w:lang w:eastAsia="ko-KR"/>
        </w:rPr>
        <w:t>as a walking companion.</w:t>
      </w:r>
      <w:r w:rsidR="006B2171" w:rsidRPr="00587212">
        <w:rPr>
          <w:rFonts w:eastAsiaTheme="minorEastAsia" w:hint="eastAsia"/>
          <w:lang w:eastAsia="ko-KR"/>
        </w:rPr>
        <w:t xml:space="preserve"> </w:t>
      </w:r>
      <w:r w:rsidR="007434DB" w:rsidRPr="00587212">
        <w:rPr>
          <w:rFonts w:eastAsiaTheme="minorEastAsia"/>
          <w:lang w:eastAsia="ko-KR"/>
        </w:rPr>
        <w:t xml:space="preserve">On the other </w:t>
      </w:r>
      <w:r w:rsidR="001F57F8" w:rsidRPr="00587212">
        <w:rPr>
          <w:rFonts w:eastAsiaTheme="minorEastAsia"/>
          <w:lang w:eastAsia="ko-KR"/>
        </w:rPr>
        <w:t>hand</w:t>
      </w:r>
      <w:r w:rsidR="007434DB" w:rsidRPr="00587212">
        <w:rPr>
          <w:rFonts w:eastAsiaTheme="minorEastAsia"/>
          <w:lang w:eastAsia="ko-KR"/>
        </w:rPr>
        <w:t xml:space="preserve">, </w:t>
      </w:r>
      <w:r w:rsidR="002A14A0" w:rsidRPr="00587212">
        <w:rPr>
          <w:rFonts w:eastAsiaTheme="minorEastAsia"/>
          <w:lang w:eastAsia="ko-KR"/>
        </w:rPr>
        <w:t xml:space="preserve">the propensity to walk with </w:t>
      </w:r>
      <w:r w:rsidR="007434DB" w:rsidRPr="00587212">
        <w:rPr>
          <w:rFonts w:eastAsiaTheme="minorEastAsia"/>
          <w:lang w:eastAsia="ko-KR"/>
        </w:rPr>
        <w:t xml:space="preserve">one or more </w:t>
      </w:r>
      <w:r w:rsidR="002A14A0" w:rsidRPr="00587212">
        <w:rPr>
          <w:rFonts w:eastAsiaTheme="minorEastAsia"/>
          <w:lang w:eastAsia="ko-KR"/>
        </w:rPr>
        <w:t xml:space="preserve">companions </w:t>
      </w:r>
      <w:r w:rsidR="007434DB" w:rsidRPr="00587212">
        <w:rPr>
          <w:rFonts w:eastAsiaTheme="minorEastAsia"/>
          <w:lang w:eastAsia="ko-KR"/>
        </w:rPr>
        <w:t xml:space="preserve">is highest among older adults </w:t>
      </w:r>
      <w:r w:rsidR="002A14A0" w:rsidRPr="00587212">
        <w:rPr>
          <w:rFonts w:eastAsiaTheme="minorEastAsia"/>
          <w:lang w:eastAsia="ko-KR"/>
        </w:rPr>
        <w:t>with children</w:t>
      </w:r>
      <w:r w:rsidR="007434DB" w:rsidRPr="00587212">
        <w:rPr>
          <w:rFonts w:eastAsiaTheme="minorEastAsia"/>
          <w:lang w:eastAsia="ko-KR"/>
        </w:rPr>
        <w:t>, much higher than older adults in any other family arrangement without children</w:t>
      </w:r>
      <w:r w:rsidR="002A14A0" w:rsidRPr="00587212">
        <w:rPr>
          <w:rFonts w:eastAsiaTheme="minorEastAsia"/>
          <w:lang w:eastAsia="ko-KR"/>
        </w:rPr>
        <w:t xml:space="preserve">. </w:t>
      </w:r>
      <w:r w:rsidR="001F57F8" w:rsidRPr="00587212">
        <w:rPr>
          <w:rFonts w:eastAsiaTheme="minorEastAsia"/>
          <w:lang w:eastAsia="ko-KR"/>
        </w:rPr>
        <w:t>Adults with c</w:t>
      </w:r>
      <w:r w:rsidR="00D5645D" w:rsidRPr="00587212">
        <w:rPr>
          <w:rFonts w:eastAsiaTheme="minorEastAsia"/>
          <w:lang w:eastAsia="ko-KR"/>
        </w:rPr>
        <w:t xml:space="preserve">hildren in </w:t>
      </w:r>
      <w:r w:rsidR="001F57F8" w:rsidRPr="00587212">
        <w:rPr>
          <w:rFonts w:eastAsiaTheme="minorEastAsia"/>
          <w:lang w:eastAsia="ko-KR"/>
        </w:rPr>
        <w:t xml:space="preserve">the household </w:t>
      </w:r>
      <w:r w:rsidR="00FE4B07" w:rsidRPr="00587212">
        <w:rPr>
          <w:rFonts w:eastAsiaTheme="minorEastAsia"/>
          <w:lang w:eastAsia="ko-KR"/>
        </w:rPr>
        <w:t xml:space="preserve">are likely to pursue joint activity </w:t>
      </w:r>
      <w:r w:rsidR="00D5645D" w:rsidRPr="00587212">
        <w:rPr>
          <w:rFonts w:eastAsiaTheme="minorEastAsia"/>
          <w:lang w:eastAsia="ko-KR"/>
        </w:rPr>
        <w:t>participation in outdoor family activities as a caregiver and more</w:t>
      </w:r>
      <w:r w:rsidR="00FE4B07" w:rsidRPr="00587212">
        <w:rPr>
          <w:rFonts w:eastAsiaTheme="minorEastAsia"/>
          <w:lang w:eastAsia="ko-KR"/>
        </w:rPr>
        <w:t xml:space="preserve"> </w:t>
      </w:r>
      <w:bookmarkStart w:id="40" w:name="_Hlk169968002"/>
      <w:r w:rsidR="00C2069F" w:rsidRPr="00587212">
        <w:rPr>
          <w:rFonts w:eastAsiaTheme="minorEastAsia"/>
          <w:lang w:eastAsia="ko-KR"/>
        </w:rPr>
        <w:fldChar w:fldCharType="begin"/>
      </w:r>
      <w:r w:rsidR="00C2069F" w:rsidRPr="00587212">
        <w:rPr>
          <w:rFonts w:eastAsiaTheme="minorEastAsia"/>
          <w:lang w:eastAsia="ko-KR"/>
        </w:rPr>
        <w:instrText xml:space="preserve"> ADDIN ZOTERO_ITEM CSL_CITATION {"citationID":"aVtJ93k9","properties":{"formattedCitation":"(Colley et al., 2019)","plainCitation":"(Colley et al., 2019)","noteIndex":0},"citationItems":[{"id":1248,"uris":["http://zotero.org/users/10132210/items/GHTQT2IS"],"itemData":{"id":1248,"type":"article-journal","container-title":"Leisure Sciences","DOI":"10.1080/01490400.2017.1349696","ISSN":"0149-0400, 1521-0588","issue":"3","journalAbbreviation":"Leisure Sciences","language":"en","page":"186-202","source":"DOI.org (Crossref)","title":"Then and Now: Examining Older People's Engagement in Outdoor Recreation Across the Life Course","title-short":"Then and Now","volume":"41","author":[{"family":"Colley","given":"Kathryn"},{"family":"Currie","given":"Margaret J. B."},{"family":"Irvine","given":"Katherine N."}],"issued":{"date-parts":[["2019",5,4]]}}}],"schema":"https://github.com/citation-style-language/schema/raw/master/csl-citation.json"} </w:instrText>
      </w:r>
      <w:r w:rsidR="00C2069F" w:rsidRPr="00587212">
        <w:rPr>
          <w:rFonts w:eastAsiaTheme="minorEastAsia"/>
          <w:lang w:eastAsia="ko-KR"/>
        </w:rPr>
        <w:fldChar w:fldCharType="separate"/>
      </w:r>
      <w:r w:rsidR="00C2069F" w:rsidRPr="00587212">
        <w:rPr>
          <w:rFonts w:cs="Times"/>
        </w:rPr>
        <w:t>(Colley et al., 2019)</w:t>
      </w:r>
      <w:r w:rsidR="00C2069F" w:rsidRPr="00587212">
        <w:rPr>
          <w:rFonts w:eastAsiaTheme="minorEastAsia"/>
          <w:lang w:eastAsia="ko-KR"/>
        </w:rPr>
        <w:fldChar w:fldCharType="end"/>
      </w:r>
      <w:r w:rsidR="00FE4B07" w:rsidRPr="00587212">
        <w:rPr>
          <w:rFonts w:eastAsiaTheme="minorEastAsia"/>
          <w:lang w:eastAsia="ko-KR"/>
        </w:rPr>
        <w:t>.</w:t>
      </w:r>
      <w:r w:rsidR="001F57F8" w:rsidRPr="00587212">
        <w:rPr>
          <w:rFonts w:eastAsiaTheme="minorEastAsia"/>
          <w:lang w:eastAsia="ko-KR"/>
        </w:rPr>
        <w:t xml:space="preserve"> </w:t>
      </w:r>
      <w:bookmarkEnd w:id="40"/>
      <w:r w:rsidR="002A14A0" w:rsidRPr="00587212">
        <w:rPr>
          <w:rFonts w:eastAsiaTheme="minorEastAsia"/>
          <w:lang w:eastAsia="ko-KR"/>
        </w:rPr>
        <w:t>Additionally,</w:t>
      </w:r>
      <w:r w:rsidR="005D381E" w:rsidRPr="00587212">
        <w:rPr>
          <w:rFonts w:eastAsiaTheme="minorEastAsia" w:hint="eastAsia"/>
          <w:lang w:eastAsia="ko-KR"/>
        </w:rPr>
        <w:t xml:space="preserve"> </w:t>
      </w:r>
      <w:r w:rsidR="002A14A0" w:rsidRPr="00587212">
        <w:rPr>
          <w:rFonts w:eastAsiaTheme="minorEastAsia"/>
          <w:lang w:eastAsia="ko-KR"/>
        </w:rPr>
        <w:t>i</w:t>
      </w:r>
      <w:r w:rsidR="005D381E" w:rsidRPr="00587212">
        <w:rPr>
          <w:rFonts w:eastAsiaTheme="minorEastAsia" w:hint="eastAsia"/>
          <w:lang w:eastAsia="ko-KR"/>
        </w:rPr>
        <w:t xml:space="preserve">ndividuals living in </w:t>
      </w:r>
      <w:r w:rsidR="00C90A6C" w:rsidRPr="00587212">
        <w:rPr>
          <w:rFonts w:eastAsiaTheme="minorEastAsia"/>
          <w:lang w:eastAsia="ko-KR"/>
        </w:rPr>
        <w:t>households</w:t>
      </w:r>
      <w:r w:rsidR="005D381E" w:rsidRPr="00587212">
        <w:rPr>
          <w:rFonts w:eastAsiaTheme="minorEastAsia" w:hint="eastAsia"/>
          <w:lang w:eastAsia="ko-KR"/>
        </w:rPr>
        <w:t xml:space="preserve"> with </w:t>
      </w:r>
      <w:r w:rsidR="00057BAA" w:rsidRPr="00587212">
        <w:rPr>
          <w:rFonts w:eastAsiaTheme="minorEastAsia"/>
          <w:lang w:eastAsia="ko-KR"/>
        </w:rPr>
        <w:t xml:space="preserve">children have a lower propensity of frequent walks, though this is tempered by the indirect positive effect of the higher propensity to partake in group-walking. The direct negative effect of children </w:t>
      </w:r>
      <w:r w:rsidR="001F57F8" w:rsidRPr="00587212">
        <w:rPr>
          <w:rFonts w:eastAsiaTheme="minorEastAsia"/>
          <w:lang w:eastAsia="ko-KR"/>
        </w:rPr>
        <w:t xml:space="preserve">on the propensity to walk frequently </w:t>
      </w:r>
      <w:r w:rsidR="00815252" w:rsidRPr="00587212">
        <w:rPr>
          <w:rFonts w:eastAsiaTheme="minorEastAsia"/>
          <w:lang w:eastAsia="ko-KR"/>
        </w:rPr>
        <w:t xml:space="preserve">is possibly a reflection of time constraints associated with childcare responsibilities </w:t>
      </w:r>
      <w:r w:rsidR="00815252" w:rsidRPr="00587212">
        <w:rPr>
          <w:rFonts w:eastAsiaTheme="minorEastAsia" w:hint="eastAsia"/>
          <w:lang w:eastAsia="ko-KR"/>
        </w:rPr>
        <w:t>(</w:t>
      </w:r>
      <w:r w:rsidR="00596611" w:rsidRPr="00587212">
        <w:rPr>
          <w:rFonts w:eastAsiaTheme="minorEastAsia"/>
          <w:lang w:eastAsia="ko-KR"/>
        </w:rPr>
        <w:t>see</w:t>
      </w:r>
      <w:r w:rsidR="00815252" w:rsidRPr="00587212">
        <w:rPr>
          <w:rFonts w:eastAsiaTheme="minorEastAsia"/>
          <w:lang w:eastAsia="ko-KR"/>
        </w:rPr>
        <w:t xml:space="preserve"> </w:t>
      </w:r>
      <w:r w:rsidR="00815252" w:rsidRPr="00587212">
        <w:rPr>
          <w:rFonts w:eastAsiaTheme="minorEastAsia"/>
          <w:lang w:eastAsia="ko-KR"/>
        </w:rPr>
        <w:fldChar w:fldCharType="begin"/>
      </w:r>
      <w:r w:rsidR="00815252" w:rsidRPr="00587212">
        <w:rPr>
          <w:rFonts w:eastAsiaTheme="minorEastAsia"/>
          <w:lang w:eastAsia="ko-KR"/>
        </w:rPr>
        <w:instrText xml:space="preserve"> ADDIN ZOTERO_ITEM CSL_CITATION {"citationID":"yYIVrvZ6","properties":{"formattedCitation":"(Aliyas, 2020)","plainCitation":"(Aliyas, 2020)","dontUpdate":true,"noteIndex":0},"citationItems":[{"id":659,"uris":["http://zotero.org/users/10132210/items/39ZTBJQ8"],"itemData":{"id":659,"type":"article-journal","abstract":"Objective: The study was aimed at assessing the association of all components of safety (crime, traffic, social, and physical) and general safety with walking for leisure and transportation among Iranian adults. In this regard, sociodemographic factors as potential effect modifiers on walking behavior and the association of neighborhood safety with the level of walking were explored.\nMethod: A total of 1300 questionnaires were distributed among respondents residing in 8 neighborhoods in Bandar Abbas city, among which 1132 qualified for use in further analysis. Using a binary logistic regression method, differences in walking behavior and perceived safety to walk were evaluated across sociodemographic characteristics.\nResults: The results showed that the walking rate is higher among older adults, married people, and adults with lower education and a higher length of residency. An increase in neighborhood safety from crime, traffic, social disorders, and overall safety associates with increased leisure walking among all populations. Further, overall neighborhood safety and safety from crime and traffic positively correlate with the level of transportation walking among all respondents. For both types of walking, this association varies in sociodemographic groups.\nConclusion: The study suggests that an increase in the safety of a neighborhood contributes to a higher level of leisure and transportation walking; however, it varies in different subgroups. This study provides the knowledge needed to consider all aspects of neighborhood safety to measure walking behavior level.","container-title":"Journal of Public Health Management and Practice","DOI":"10.1097/PHH.0000000000000992","ISSN":"1078-4659","issue":"4","language":"en","note":"number: 4","page":"E24-E32","source":"DOI.org (Crossref)","title":"Why Some Walk and Others Don't: Neighborhood Safety and the Sociodemographic Variation Effect on Walking for Leisure and Transportation","title-short":"Why Some Walk and Others Don't","volume":"26","author":[{"family":"Aliyas","given":"Zeinab"}],"issued":{"date-parts":[["2020",7]]}}}],"schema":"https://github.com/citation-style-language/schema/raw/master/csl-citation.json"} </w:instrText>
      </w:r>
      <w:r w:rsidR="00815252" w:rsidRPr="00587212">
        <w:rPr>
          <w:rFonts w:eastAsiaTheme="minorEastAsia"/>
          <w:lang w:eastAsia="ko-KR"/>
        </w:rPr>
        <w:fldChar w:fldCharType="separate"/>
      </w:r>
      <w:r w:rsidR="00815252" w:rsidRPr="00587212">
        <w:rPr>
          <w:rFonts w:cs="Times"/>
        </w:rPr>
        <w:t>Aliyas, 2020)</w:t>
      </w:r>
      <w:r w:rsidR="00815252" w:rsidRPr="00587212">
        <w:rPr>
          <w:rFonts w:eastAsiaTheme="minorEastAsia"/>
          <w:lang w:eastAsia="ko-KR"/>
        </w:rPr>
        <w:fldChar w:fldCharType="end"/>
      </w:r>
      <w:r w:rsidR="00815252" w:rsidRPr="00587212">
        <w:rPr>
          <w:rFonts w:eastAsiaTheme="minorEastAsia"/>
          <w:lang w:eastAsia="ko-KR"/>
        </w:rPr>
        <w:t>. Finally, older adults</w:t>
      </w:r>
      <w:r w:rsidR="00815252" w:rsidRPr="00587212">
        <w:rPr>
          <w:rFonts w:eastAsiaTheme="minorEastAsia" w:hint="eastAsia"/>
          <w:lang w:eastAsia="ko-KR"/>
        </w:rPr>
        <w:t xml:space="preserve"> </w:t>
      </w:r>
      <w:r w:rsidR="00057BAA" w:rsidRPr="00587212">
        <w:rPr>
          <w:rFonts w:eastAsiaTheme="minorEastAsia"/>
          <w:lang w:eastAsia="ko-KR"/>
        </w:rPr>
        <w:t xml:space="preserve">with </w:t>
      </w:r>
      <w:r w:rsidR="005D381E" w:rsidRPr="00587212">
        <w:rPr>
          <w:rFonts w:eastAsiaTheme="minorEastAsia" w:hint="eastAsia"/>
          <w:lang w:eastAsia="ko-KR"/>
        </w:rPr>
        <w:t>t</w:t>
      </w:r>
      <w:r w:rsidR="00815252" w:rsidRPr="00587212">
        <w:rPr>
          <w:rFonts w:eastAsiaTheme="minorEastAsia"/>
          <w:lang w:eastAsia="ko-KR"/>
        </w:rPr>
        <w:t>hree</w:t>
      </w:r>
      <w:r w:rsidR="005D381E" w:rsidRPr="00587212">
        <w:rPr>
          <w:rFonts w:eastAsiaTheme="minorEastAsia" w:hint="eastAsia"/>
          <w:lang w:eastAsia="ko-KR"/>
        </w:rPr>
        <w:t xml:space="preserve"> or more adults </w:t>
      </w:r>
      <w:r w:rsidR="00815252" w:rsidRPr="00587212">
        <w:rPr>
          <w:rFonts w:eastAsiaTheme="minorEastAsia"/>
          <w:lang w:eastAsia="ko-KR"/>
        </w:rPr>
        <w:t xml:space="preserve">in the household (including the older adult) </w:t>
      </w:r>
      <w:r w:rsidR="005D381E" w:rsidRPr="00587212">
        <w:rPr>
          <w:rFonts w:eastAsiaTheme="minorEastAsia" w:hint="eastAsia"/>
          <w:lang w:eastAsia="ko-KR"/>
        </w:rPr>
        <w:t xml:space="preserve">tend to </w:t>
      </w:r>
      <w:r w:rsidR="00382CAC" w:rsidRPr="00587212">
        <w:rPr>
          <w:rFonts w:eastAsiaTheme="minorEastAsia"/>
          <w:lang w:eastAsia="ko-KR"/>
        </w:rPr>
        <w:t>walk for</w:t>
      </w:r>
      <w:r w:rsidR="005D381E" w:rsidRPr="00587212">
        <w:rPr>
          <w:rFonts w:eastAsiaTheme="minorEastAsia" w:hint="eastAsia"/>
          <w:lang w:eastAsia="ko-KR"/>
        </w:rPr>
        <w:t xml:space="preserve"> short</w:t>
      </w:r>
      <w:r w:rsidR="00815252" w:rsidRPr="00587212">
        <w:rPr>
          <w:rFonts w:eastAsiaTheme="minorEastAsia"/>
          <w:lang w:eastAsia="ko-KR"/>
        </w:rPr>
        <w:t>er</w:t>
      </w:r>
      <w:r w:rsidR="00FE4B07" w:rsidRPr="00587212">
        <w:rPr>
          <w:rFonts w:eastAsiaTheme="minorEastAsia"/>
          <w:lang w:eastAsia="ko-KR"/>
        </w:rPr>
        <w:t xml:space="preserve"> </w:t>
      </w:r>
      <w:r w:rsidR="007F485D" w:rsidRPr="00587212">
        <w:rPr>
          <w:rFonts w:eastAsiaTheme="minorEastAsia"/>
          <w:lang w:eastAsia="ko-KR"/>
        </w:rPr>
        <w:t>durations</w:t>
      </w:r>
      <w:r w:rsidR="00FE4B07" w:rsidRPr="00587212">
        <w:rPr>
          <w:rFonts w:eastAsiaTheme="minorEastAsia"/>
          <w:lang w:eastAsia="ko-KR"/>
        </w:rPr>
        <w:t xml:space="preserve">, with this negative direct effect being even stronger in the </w:t>
      </w:r>
      <w:r w:rsidR="00FE4B07" w:rsidRPr="00587212">
        <w:rPr>
          <w:rFonts w:eastAsiaTheme="minorEastAsia"/>
          <w:lang w:eastAsia="ko-KR"/>
        </w:rPr>
        <w:lastRenderedPageBreak/>
        <w:t xml:space="preserve">presence of a child. </w:t>
      </w:r>
      <w:r w:rsidR="00B20F4B" w:rsidRPr="00587212">
        <w:rPr>
          <w:rFonts w:eastAsiaTheme="minorEastAsia"/>
          <w:lang w:eastAsia="ko-KR"/>
        </w:rPr>
        <w:t>However, again this direct negative effect for the case of three adults with a child is tempered by the indirect positive effect through the SC dimension. Overall, these results suggest that older adults in households with three or more adults, with or without children, have a lower walk duration</w:t>
      </w:r>
      <w:r w:rsidR="001F57F8" w:rsidRPr="00587212">
        <w:rPr>
          <w:rFonts w:eastAsiaTheme="minorEastAsia"/>
          <w:lang w:eastAsia="ko-KR"/>
        </w:rPr>
        <w:t xml:space="preserve"> per day</w:t>
      </w:r>
      <w:r w:rsidR="00B20F4B" w:rsidRPr="00587212">
        <w:rPr>
          <w:rFonts w:eastAsiaTheme="minorEastAsia"/>
          <w:lang w:eastAsia="ko-KR"/>
        </w:rPr>
        <w:t>. The family science literature (see</w:t>
      </w:r>
      <w:r w:rsidR="00596611" w:rsidRPr="00587212">
        <w:rPr>
          <w:rFonts w:eastAsiaTheme="minorEastAsia"/>
          <w:lang w:eastAsia="ko-KR"/>
        </w:rPr>
        <w:t>,</w:t>
      </w:r>
      <w:r w:rsidR="00B20F4B" w:rsidRPr="00587212">
        <w:rPr>
          <w:rFonts w:eastAsiaTheme="minorEastAsia"/>
          <w:lang w:eastAsia="ko-KR"/>
        </w:rPr>
        <w:t xml:space="preserve"> for example, </w:t>
      </w:r>
      <w:r w:rsidR="00F23CFB" w:rsidRPr="00587212">
        <w:rPr>
          <w:rFonts w:eastAsiaTheme="minorEastAsia"/>
          <w:lang w:eastAsia="ko-KR"/>
        </w:rPr>
        <w:fldChar w:fldCharType="begin"/>
      </w:r>
      <w:r w:rsidR="003B3F4D" w:rsidRPr="00587212">
        <w:rPr>
          <w:rFonts w:eastAsiaTheme="minorEastAsia"/>
          <w:lang w:eastAsia="ko-KR"/>
        </w:rPr>
        <w:instrText xml:space="preserve"> ADDIN ZOTERO_ITEM CSL_CITATION {"citationID":"0lhB0iNO","properties":{"formattedCitation":"(Van Der Meer, 2008)","plainCitation":"(Van Der Meer, 2008)","dontUpdate":true,"noteIndex":0},"citationItems":[{"id":1249,"uris":["http://zotero.org/users/10132210/items/9N8Z8L3C"],"itemData":{"id":1249,"type":"article-journal","container-title":"Journal of Aging Studies","DOI":"10.1016/j.jaging.2007.02.001","ISSN":"08904065","issue":"1","journalAbbreviation":"Journal of Aging Studies","language":"en","license":"https://www.elsevier.com/tdm/userlicense/1.0/","page":"1-12","source":"DOI.org (Crossref)","title":"The sociospatial diversity in the leisure activities of older people in the Netherlands","volume":"22","author":[{"family":"Van Der Meer","given":"M.J."}],"issued":{"date-parts":[["2008",1]]}}}],"schema":"https://github.com/citation-style-language/schema/raw/master/csl-citation.json"} </w:instrText>
      </w:r>
      <w:r w:rsidR="00F23CFB" w:rsidRPr="00587212">
        <w:rPr>
          <w:rFonts w:eastAsiaTheme="minorEastAsia"/>
          <w:lang w:eastAsia="ko-KR"/>
        </w:rPr>
        <w:fldChar w:fldCharType="separate"/>
      </w:r>
      <w:r w:rsidR="00F23CFB" w:rsidRPr="00587212">
        <w:rPr>
          <w:rFonts w:cs="Times"/>
        </w:rPr>
        <w:t>Van Der Meer, 2008)</w:t>
      </w:r>
      <w:r w:rsidR="00F23CFB" w:rsidRPr="00587212">
        <w:rPr>
          <w:rFonts w:eastAsiaTheme="minorEastAsia"/>
          <w:lang w:eastAsia="ko-KR"/>
        </w:rPr>
        <w:fldChar w:fldCharType="end"/>
      </w:r>
      <w:r w:rsidR="00B20F4B" w:rsidRPr="00587212">
        <w:rPr>
          <w:rFonts w:eastAsiaTheme="minorEastAsia"/>
          <w:lang w:eastAsia="ko-KR"/>
        </w:rPr>
        <w:t xml:space="preserve"> does suggest that older adults, when having adequate human company within the home, </w:t>
      </w:r>
      <w:r w:rsidR="00815252" w:rsidRPr="00587212">
        <w:rPr>
          <w:rFonts w:eastAsiaTheme="minorEastAsia"/>
          <w:lang w:eastAsia="ko-KR"/>
        </w:rPr>
        <w:t xml:space="preserve">have less motivation to venture out of the home </w:t>
      </w:r>
      <w:r w:rsidR="00B20F4B" w:rsidRPr="00587212">
        <w:rPr>
          <w:rFonts w:eastAsiaTheme="minorEastAsia"/>
          <w:lang w:eastAsia="ko-KR"/>
        </w:rPr>
        <w:t xml:space="preserve">for </w:t>
      </w:r>
      <w:r w:rsidR="00815252" w:rsidRPr="00587212">
        <w:rPr>
          <w:rFonts w:eastAsiaTheme="minorEastAsia"/>
          <w:lang w:eastAsia="ko-KR"/>
        </w:rPr>
        <w:t xml:space="preserve">any kind of </w:t>
      </w:r>
      <w:r w:rsidR="00B20F4B" w:rsidRPr="00587212">
        <w:rPr>
          <w:rFonts w:eastAsiaTheme="minorEastAsia"/>
          <w:lang w:eastAsia="ko-KR"/>
        </w:rPr>
        <w:t>social contact, which may, at least in part, explain this result.</w:t>
      </w:r>
    </w:p>
    <w:p w14:paraId="1A85F562" w14:textId="50A0983B" w:rsidR="002A14A0" w:rsidRDefault="00546D81" w:rsidP="00662E40">
      <w:pPr>
        <w:ind w:firstLine="720"/>
        <w:jc w:val="both"/>
        <w:rPr>
          <w:rFonts w:eastAsiaTheme="minorEastAsia"/>
          <w:lang w:eastAsia="ko-KR"/>
        </w:rPr>
      </w:pPr>
      <w:r>
        <w:rPr>
          <w:rFonts w:eastAsiaTheme="minorEastAsia"/>
          <w:lang w:eastAsia="ko-KR"/>
        </w:rPr>
        <w:t>With respect to socioeconomic status</w:t>
      </w:r>
      <w:r w:rsidR="00085A8A">
        <w:rPr>
          <w:rFonts w:eastAsiaTheme="minorEastAsia"/>
          <w:lang w:eastAsia="ko-KR"/>
        </w:rPr>
        <w:t xml:space="preserve"> (SES)</w:t>
      </w:r>
      <w:r>
        <w:rPr>
          <w:rFonts w:eastAsiaTheme="minorEastAsia"/>
          <w:lang w:eastAsia="ko-KR"/>
        </w:rPr>
        <w:t>, o</w:t>
      </w:r>
      <w:r w:rsidR="00C67459" w:rsidRPr="00C67459">
        <w:rPr>
          <w:rFonts w:eastAsiaTheme="minorEastAsia"/>
          <w:lang w:eastAsia="ko-KR"/>
        </w:rPr>
        <w:t>lder adults in hig</w:t>
      </w:r>
      <w:r w:rsidR="005F71F5">
        <w:rPr>
          <w:rFonts w:eastAsiaTheme="minorEastAsia"/>
          <w:lang w:eastAsia="ko-KR"/>
        </w:rPr>
        <w:t>h</w:t>
      </w:r>
      <w:r w:rsidR="00C67459" w:rsidRPr="00C67459">
        <w:rPr>
          <w:rFonts w:eastAsiaTheme="minorEastAsia"/>
          <w:lang w:eastAsia="ko-KR"/>
        </w:rPr>
        <w:t xml:space="preserve">-income households </w:t>
      </w:r>
      <w:r w:rsidR="005F71F5">
        <w:rPr>
          <w:rFonts w:eastAsiaTheme="minorEastAsia"/>
          <w:lang w:eastAsia="ko-KR"/>
        </w:rPr>
        <w:t xml:space="preserve">(annual income of $100,000 or </w:t>
      </w:r>
      <w:r w:rsidR="005F71F5" w:rsidRPr="00587212">
        <w:rPr>
          <w:rFonts w:eastAsiaTheme="minorEastAsia"/>
          <w:lang w:eastAsia="ko-KR"/>
        </w:rPr>
        <w:t xml:space="preserve">more) </w:t>
      </w:r>
      <w:r w:rsidR="00C67459" w:rsidRPr="00587212">
        <w:rPr>
          <w:rFonts w:eastAsiaTheme="minorEastAsia"/>
          <w:lang w:eastAsia="ko-KR"/>
        </w:rPr>
        <w:t xml:space="preserve">exhibit </w:t>
      </w:r>
      <w:r w:rsidR="005F71F5" w:rsidRPr="00587212">
        <w:rPr>
          <w:rFonts w:eastAsiaTheme="minorEastAsia"/>
          <w:lang w:eastAsia="ko-KR"/>
        </w:rPr>
        <w:t xml:space="preserve">both </w:t>
      </w:r>
      <w:r w:rsidR="00C67459" w:rsidRPr="00587212">
        <w:rPr>
          <w:rFonts w:eastAsiaTheme="minorEastAsia"/>
          <w:lang w:eastAsia="ko-KR"/>
        </w:rPr>
        <w:t xml:space="preserve">a greater propensity </w:t>
      </w:r>
      <w:r w:rsidRPr="00587212">
        <w:rPr>
          <w:rFonts w:eastAsiaTheme="minorEastAsia"/>
          <w:lang w:eastAsia="ko-KR"/>
        </w:rPr>
        <w:t xml:space="preserve">to walk </w:t>
      </w:r>
      <w:r w:rsidR="00C67459" w:rsidRPr="00587212">
        <w:rPr>
          <w:rFonts w:eastAsiaTheme="minorEastAsia"/>
          <w:lang w:eastAsia="ko-KR"/>
        </w:rPr>
        <w:t>frequen</w:t>
      </w:r>
      <w:r w:rsidRPr="00587212">
        <w:rPr>
          <w:rFonts w:eastAsiaTheme="minorEastAsia"/>
          <w:lang w:eastAsia="ko-KR"/>
        </w:rPr>
        <w:t>tly</w:t>
      </w:r>
      <w:r w:rsidR="00EB4E45" w:rsidRPr="00587212">
        <w:rPr>
          <w:rFonts w:eastAsiaTheme="minorEastAsia" w:hint="eastAsia"/>
          <w:lang w:eastAsia="ko-KR"/>
        </w:rPr>
        <w:t xml:space="preserve"> and </w:t>
      </w:r>
      <w:r w:rsidR="002A14A0" w:rsidRPr="00587212">
        <w:rPr>
          <w:rFonts w:eastAsiaTheme="minorEastAsia"/>
          <w:lang w:eastAsia="ko-KR"/>
        </w:rPr>
        <w:t xml:space="preserve">for </w:t>
      </w:r>
      <w:r w:rsidR="00EB4E45" w:rsidRPr="00587212">
        <w:rPr>
          <w:rFonts w:eastAsiaTheme="minorEastAsia" w:hint="eastAsia"/>
          <w:lang w:eastAsia="ko-KR"/>
        </w:rPr>
        <w:t>longer</w:t>
      </w:r>
      <w:r w:rsidR="002A14A0" w:rsidRPr="00587212">
        <w:rPr>
          <w:rFonts w:eastAsiaTheme="minorEastAsia"/>
          <w:lang w:eastAsia="ko-KR"/>
        </w:rPr>
        <w:t xml:space="preserve"> durations</w:t>
      </w:r>
      <w:r w:rsidRPr="00587212">
        <w:rPr>
          <w:rFonts w:eastAsiaTheme="minorEastAsia"/>
          <w:lang w:eastAsia="ko-KR"/>
        </w:rPr>
        <w:t>. This aligns with</w:t>
      </w:r>
      <w:r w:rsidR="002A14A0" w:rsidRPr="00587212">
        <w:rPr>
          <w:rFonts w:eastAsiaTheme="minorEastAsia"/>
          <w:lang w:eastAsia="ko-KR"/>
        </w:rPr>
        <w:t xml:space="preserve"> previous</w:t>
      </w:r>
      <w:r w:rsidRPr="00587212">
        <w:rPr>
          <w:rFonts w:eastAsiaTheme="minorEastAsia"/>
          <w:lang w:eastAsia="ko-KR"/>
        </w:rPr>
        <w:t xml:space="preserve"> research by</w:t>
      </w:r>
      <w:r w:rsidR="000F630D" w:rsidRPr="00587212">
        <w:rPr>
          <w:rFonts w:eastAsiaTheme="minorEastAsia"/>
          <w:lang w:eastAsia="ko-KR"/>
        </w:rPr>
        <w:t xml:space="preserve"> </w:t>
      </w:r>
      <w:r w:rsidR="000F630D" w:rsidRPr="00587212">
        <w:rPr>
          <w:rFonts w:eastAsiaTheme="minorEastAsia"/>
          <w:lang w:eastAsia="ko-KR"/>
        </w:rPr>
        <w:fldChar w:fldCharType="begin"/>
      </w:r>
      <w:r w:rsidR="00665B00" w:rsidRPr="00587212">
        <w:rPr>
          <w:rFonts w:eastAsiaTheme="minorEastAsia"/>
          <w:lang w:eastAsia="ko-KR"/>
        </w:rPr>
        <w:instrText xml:space="preserve"> ADDIN ZOTERO_ITEM CSL_CITATION {"citationID":"zibj0MTQ","properties":{"formattedCitation":"(Kamphuis et al., 2009; Stalsberg &amp; Pedersen, 2018)","plainCitation":"(Kamphuis et al., 2009; Stalsberg &amp; Pedersen, 2018)","dontUpdate":true,"noteIndex":0},"citationItems":[{"id":1048,"uris":["http://zotero.org/users/10132210/items/7TSVFA5A"],"itemData":{"id":1048,"type":"article-journal","abstract":"Background: People with a low socioeconomic status (SES) are more likely to be physically inactive than their higher status counterparts, however, the mechanisms underlying this socioeconomic gradient in physical inactivity remain largely unknown. Our aims were (1) to investigate socioeconomic differences in recreational walking among older adults and (2) to examine to what extent neighbourhood perceptions and individual cognitions regarding regular physical activity can explain these differences.\nMethods: Data were obtained by a large-scale postal survey among a stratified sample of older adults (age 55–75 years) (N = 1994), residing in 147 neighbourhoods of Eindhoven and surrounding areas, in the Netherlands. Multilevel logistic regression analyses assessed associations between SES (i.e. education and income), perceptions of the social and physical neighbourhood env</w:instrText>
      </w:r>
      <w:r w:rsidR="00665B00" w:rsidRPr="00587212">
        <w:rPr>
          <w:rFonts w:eastAsiaTheme="minorEastAsia" w:hint="eastAsia"/>
          <w:lang w:eastAsia="ko-KR"/>
        </w:rPr>
        <w:instrText xml:space="preserve">ironment, measures of individual cognitions derived from the Theory of Planned Behaviour (e.g. attitude, perceived behaviour control), and recreational walking for </w:instrText>
      </w:r>
      <w:r w:rsidR="00665B00" w:rsidRPr="00587212">
        <w:rPr>
          <w:rFonts w:eastAsiaTheme="minorEastAsia" w:hint="eastAsia"/>
          <w:lang w:eastAsia="ko-KR"/>
        </w:rPr>
        <w:instrText>≥</w:instrText>
      </w:r>
      <w:r w:rsidR="00665B00" w:rsidRPr="00587212">
        <w:rPr>
          <w:rFonts w:eastAsiaTheme="minorEastAsia" w:hint="eastAsia"/>
          <w:lang w:eastAsia="ko-KR"/>
        </w:rPr>
        <w:instrText>10 minutes/week (no vs. yes).\nResults: Participants in the lowest educational group (OR 1</w:instrText>
      </w:r>
      <w:r w:rsidR="00665B00" w:rsidRPr="00587212">
        <w:rPr>
          <w:rFonts w:eastAsiaTheme="minorEastAsia"/>
          <w:lang w:eastAsia="ko-KR"/>
        </w:rPr>
        <w:instrText xml:space="preserve">.67 (95% CI, 1.18–2.35)) and lowest income group (OR 1.40 (95% CI, 0.98–2.01)) were more likely to report no recreational walking than their higher status counterparts. The association between SES and recreational walking attenuated when neighbourhood aesthetics was included in the model, and largely reduced when individual cognitions were added to the model (with largest effects of attitude, and intention regarding regular physical activity). The assiation between poor neighbourhood aesthetics and no recreational walking attenuated to (borderline) insignificance when individual cognitions were taken into account.\nConclusion: Both neighbourhood aesthetics and individual cognitions regarding physical activity contributed to the explanation of socioeconomic differences in no recreational walking. Neighbourhood aesthetics may explain the association between SES and recreational walking largely via individual cognitions towards physical activity. Intervention and policy strategies to reduce socioeconomic differences in lack of recreational walking among older adults would be most effective if they intervene on both neighbourhood perceptions as well as individual cognitions.","container-title":"International Journal of Behavioral Nutrition and Physical Activity","DOI":"10.1186/1479-5868-6-1","ISSN":"1479-5868","issue":"1","journalAbbreviation":"Int J Behav Nutr Phys Act","language":"en","page":"1","source":"DOI.org (Crossref)","title":"Socioeconomic differences in lack of recreational walking among older adults: the role of neighbourhood and individual factors","title-short":"Socioeconomic differences in lack of recreational walking among older adults","volume":"6","author":[{"family":"Kamphuis","given":"Carlijn Bm"},{"family":"Van Lenthe","given":"Frank J"},{"family":"Giskes","given":"Katrina"},{"family":"Huisman","given":"Martijn"},{"family":"Brug","given":"Johannes"},{"family":"Mackenbach","given":"Johan P"}],"issued":{"date-parts":[["2009"]]}}},{"id":1128,"uris":["http://zotero.org/users/10132210/items/4EYX8JG2"],"itemData":{"id":1128,"type":"article-journal","container-title":"International Journal of Environmental Research and Public Health","DOI":"10.3390/ijerph15050922","ISSN":"1660-4601","issue":"5","journalAbbreviation":"IJERPH","language":"en","license":"https://creativecommons.org/licenses/by/4.0/","page":"922","source":"DOI.org (Crossref)","title":"Are Differences in Physical Activity across Socioeconomic Groups Associated with Choice of Physical Activity Variables to Report?","volume":"15","author":[{"family":"Stalsberg","given":"Ragna"},{"family":"Pedersen","given":"Arve"}],"issued":{"date-parts":[["2018",5,5]]}}}],"schema":"https://github.com/citation-style-language/schema/raw/master/csl-citation.json"} </w:instrText>
      </w:r>
      <w:r w:rsidR="000F630D" w:rsidRPr="00587212">
        <w:rPr>
          <w:rFonts w:eastAsiaTheme="minorEastAsia"/>
          <w:lang w:eastAsia="ko-KR"/>
        </w:rPr>
        <w:fldChar w:fldCharType="separate"/>
      </w:r>
      <w:r w:rsidR="000F630D" w:rsidRPr="00587212">
        <w:rPr>
          <w:rFonts w:cs="Times"/>
        </w:rPr>
        <w:t>Kamphuis et al.</w:t>
      </w:r>
      <w:r w:rsidR="002A64AD" w:rsidRPr="00587212">
        <w:rPr>
          <w:rFonts w:cs="Times"/>
        </w:rPr>
        <w:t xml:space="preserve"> (</w:t>
      </w:r>
      <w:r w:rsidR="000F630D" w:rsidRPr="00587212">
        <w:rPr>
          <w:rFonts w:cs="Times"/>
        </w:rPr>
        <w:t>2009</w:t>
      </w:r>
      <w:r w:rsidR="002A64AD" w:rsidRPr="00587212">
        <w:rPr>
          <w:rFonts w:cs="Times"/>
        </w:rPr>
        <w:t>) and</w:t>
      </w:r>
      <w:r w:rsidR="000F630D" w:rsidRPr="00587212">
        <w:rPr>
          <w:rFonts w:cs="Times"/>
        </w:rPr>
        <w:t xml:space="preserve"> Stalsberg </w:t>
      </w:r>
      <w:r w:rsidR="002A64AD" w:rsidRPr="00587212">
        <w:rPr>
          <w:rFonts w:cs="Times"/>
        </w:rPr>
        <w:t>and</w:t>
      </w:r>
      <w:r w:rsidR="000F630D" w:rsidRPr="00587212">
        <w:rPr>
          <w:rFonts w:cs="Times"/>
        </w:rPr>
        <w:t xml:space="preserve"> Pedersen </w:t>
      </w:r>
      <w:r w:rsidR="002A64AD" w:rsidRPr="00587212">
        <w:rPr>
          <w:rFonts w:cs="Times"/>
        </w:rPr>
        <w:t>(</w:t>
      </w:r>
      <w:r w:rsidR="000F630D" w:rsidRPr="00587212">
        <w:rPr>
          <w:rFonts w:cs="Times"/>
        </w:rPr>
        <w:t>2018)</w:t>
      </w:r>
      <w:r w:rsidR="000F630D" w:rsidRPr="00587212">
        <w:rPr>
          <w:rFonts w:eastAsiaTheme="minorEastAsia"/>
          <w:lang w:eastAsia="ko-KR"/>
        </w:rPr>
        <w:fldChar w:fldCharType="end"/>
      </w:r>
      <w:r w:rsidR="002A14A0" w:rsidRPr="00587212">
        <w:rPr>
          <w:rFonts w:eastAsiaTheme="minorEastAsia"/>
          <w:lang w:eastAsia="ko-KR"/>
        </w:rPr>
        <w:t xml:space="preserve">. </w:t>
      </w:r>
      <w:r w:rsidR="005F71F5" w:rsidRPr="00587212">
        <w:rPr>
          <w:rFonts w:eastAsiaTheme="minorEastAsia"/>
          <w:lang w:eastAsia="ko-KR"/>
        </w:rPr>
        <w:t>T</w:t>
      </w:r>
      <w:r w:rsidR="002A14A0" w:rsidRPr="00587212">
        <w:rPr>
          <w:rFonts w:eastAsiaTheme="minorEastAsia"/>
          <w:lang w:eastAsia="ko-KR"/>
        </w:rPr>
        <w:t xml:space="preserve">hose with higher incomes </w:t>
      </w:r>
      <w:r w:rsidR="005F71F5" w:rsidRPr="00587212">
        <w:rPr>
          <w:rFonts w:eastAsiaTheme="minorEastAsia"/>
          <w:lang w:eastAsia="ko-KR"/>
        </w:rPr>
        <w:t xml:space="preserve">have the luxury of time and resources </w:t>
      </w:r>
      <w:r w:rsidR="002A14A0" w:rsidRPr="00587212">
        <w:rPr>
          <w:rFonts w:eastAsiaTheme="minorEastAsia"/>
          <w:lang w:eastAsia="ko-KR"/>
        </w:rPr>
        <w:t>to allocate toward recreational pursuits, including walking</w:t>
      </w:r>
      <w:r w:rsidR="005F71F5" w:rsidRPr="00587212">
        <w:rPr>
          <w:rFonts w:eastAsiaTheme="minorEastAsia"/>
          <w:lang w:eastAsia="ko-KR"/>
        </w:rPr>
        <w:t xml:space="preserve">. Additionally, this income effect may simply be capturing the disparity in the quality of the </w:t>
      </w:r>
      <w:r w:rsidR="00085A8A" w:rsidRPr="00587212">
        <w:rPr>
          <w:rFonts w:eastAsiaTheme="minorEastAsia"/>
          <w:lang w:eastAsia="ko-KR"/>
        </w:rPr>
        <w:t xml:space="preserve">walking </w:t>
      </w:r>
      <w:r w:rsidR="005F71F5" w:rsidRPr="00587212">
        <w:rPr>
          <w:rFonts w:eastAsiaTheme="minorEastAsia"/>
          <w:lang w:eastAsia="ko-KR"/>
        </w:rPr>
        <w:t xml:space="preserve">infrastructure </w:t>
      </w:r>
      <w:r w:rsidR="00085A8A" w:rsidRPr="00587212">
        <w:rPr>
          <w:rFonts w:eastAsiaTheme="minorEastAsia"/>
          <w:lang w:eastAsia="ko-KR"/>
        </w:rPr>
        <w:t xml:space="preserve">between neighborhoods with </w:t>
      </w:r>
      <w:r w:rsidR="0027056D" w:rsidRPr="00587212">
        <w:rPr>
          <w:rFonts w:eastAsiaTheme="minorEastAsia"/>
          <w:lang w:eastAsia="ko-KR"/>
        </w:rPr>
        <w:t>high-</w:t>
      </w:r>
      <w:r w:rsidR="00085A8A" w:rsidRPr="00587212">
        <w:rPr>
          <w:rFonts w:eastAsiaTheme="minorEastAsia"/>
          <w:lang w:eastAsia="ko-KR"/>
        </w:rPr>
        <w:t xml:space="preserve">income households and low-income households. </w:t>
      </w:r>
      <w:r w:rsidR="0033012E" w:rsidRPr="00587212">
        <w:rPr>
          <w:rFonts w:eastAsiaTheme="minorEastAsia"/>
          <w:lang w:eastAsia="ko-KR"/>
        </w:rPr>
        <w:t xml:space="preserve">In </w:t>
      </w:r>
      <w:r w:rsidR="00DD6936">
        <w:rPr>
          <w:rFonts w:eastAsiaTheme="minorEastAsia"/>
          <w:lang w:eastAsia="ko-KR"/>
        </w:rPr>
        <w:t>summary</w:t>
      </w:r>
      <w:r w:rsidR="0033012E" w:rsidRPr="00587212">
        <w:rPr>
          <w:rFonts w:eastAsiaTheme="minorEastAsia"/>
          <w:lang w:eastAsia="ko-KR"/>
        </w:rPr>
        <w:t xml:space="preserve">, while </w:t>
      </w:r>
      <w:r w:rsidR="00B45289" w:rsidRPr="00587212">
        <w:rPr>
          <w:rFonts w:eastAsiaTheme="minorEastAsia"/>
          <w:lang w:eastAsia="ko-KR"/>
        </w:rPr>
        <w:t>quantitatively</w:t>
      </w:r>
      <w:r w:rsidR="00B45289" w:rsidRPr="00587212">
        <w:rPr>
          <w:rFonts w:eastAsiaTheme="minorEastAsia" w:hint="eastAsia"/>
          <w:lang w:eastAsia="ko-KR"/>
        </w:rPr>
        <w:t xml:space="preserve"> measured</w:t>
      </w:r>
      <w:r w:rsidR="0033012E" w:rsidRPr="00587212">
        <w:rPr>
          <w:rFonts w:eastAsiaTheme="minorEastAsia"/>
          <w:lang w:eastAsia="ko-KR"/>
        </w:rPr>
        <w:t xml:space="preserve"> walkability appears to be higher in lower SES neighborhoods as a result of </w:t>
      </w:r>
      <w:r w:rsidR="0033012E" w:rsidRPr="00587212">
        <w:rPr>
          <w:rFonts w:eastAsiaTheme="minorEastAsia" w:hint="eastAsia"/>
          <w:lang w:eastAsia="ko-KR"/>
        </w:rPr>
        <w:t xml:space="preserve">high </w:t>
      </w:r>
      <w:r w:rsidR="0033012E" w:rsidRPr="00587212">
        <w:rPr>
          <w:rFonts w:eastAsiaTheme="minorEastAsia"/>
          <w:lang w:eastAsia="ko-KR"/>
        </w:rPr>
        <w:t>population density</w:t>
      </w:r>
      <w:r w:rsidR="0033012E" w:rsidRPr="00587212">
        <w:rPr>
          <w:rFonts w:eastAsiaTheme="minorEastAsia" w:hint="eastAsia"/>
          <w:lang w:eastAsia="ko-KR"/>
        </w:rPr>
        <w:t xml:space="preserve"> </w:t>
      </w:r>
      <w:r w:rsidR="00B32808" w:rsidRPr="00587212">
        <w:rPr>
          <w:rFonts w:eastAsiaTheme="minorEastAsia"/>
          <w:lang w:eastAsia="ko-KR"/>
        </w:rPr>
        <w:fldChar w:fldCharType="begin"/>
      </w:r>
      <w:r w:rsidR="00714083" w:rsidRPr="00587212">
        <w:rPr>
          <w:rFonts w:eastAsiaTheme="minorEastAsia"/>
          <w:lang w:eastAsia="ko-KR"/>
        </w:rPr>
        <w:instrText xml:space="preserve"> ADDIN ZOTERO_ITEM CSL_CITATION {"citationID":"y6VXqEz3","properties":{"formattedCitation":"(Bereitschaft, 2017)","plainCitation":"(Bereitschaft, 2017)","dontUpdate":true,"noteIndex":0},"citationItems":[{"id":1253,"uris":["http://zotero.org/users/10132210/items/X2A33KHT"],"itemData":{"id":1253,"type":"article-journal","container-title":"Local Environment","DOI":"10.1080/13549839.2017.1297390","ISSN":"1354-9839, 1469-6711","issue":"7","journalAbbreviation":"Local Environment","language":"en","page":"859-879","source":"DOI.org (Crossref)","title":"Equity in neighbourhood walkability? A comparative analysis of three large U.S. cities","title-short":"Equity in neighbourhood walkability?","volume":"22","author":[{"family":"Bereitschaft","given":"Bradley"}],"issued":{"date-parts":[["2017",7,3]]}}}],"schema":"https://github.com/citation-style-language/schema/raw/master/csl-citation.json"} </w:instrText>
      </w:r>
      <w:r w:rsidR="00B32808" w:rsidRPr="00587212">
        <w:rPr>
          <w:rFonts w:eastAsiaTheme="minorEastAsia"/>
          <w:lang w:eastAsia="ko-KR"/>
        </w:rPr>
        <w:fldChar w:fldCharType="separate"/>
      </w:r>
      <w:r w:rsidR="00B32808" w:rsidRPr="00587212">
        <w:rPr>
          <w:rFonts w:cs="Times"/>
        </w:rPr>
        <w:t>(</w:t>
      </w:r>
      <w:r w:rsidR="00596611" w:rsidRPr="00587212">
        <w:rPr>
          <w:rFonts w:cs="Times"/>
        </w:rPr>
        <w:t xml:space="preserve">see </w:t>
      </w:r>
      <w:r w:rsidR="00B32808" w:rsidRPr="00587212">
        <w:rPr>
          <w:rFonts w:cs="Times"/>
        </w:rPr>
        <w:t>Bereitschaft, 2017)</w:t>
      </w:r>
      <w:r w:rsidR="00B32808" w:rsidRPr="00587212">
        <w:rPr>
          <w:rFonts w:eastAsiaTheme="minorEastAsia"/>
          <w:lang w:eastAsia="ko-KR"/>
        </w:rPr>
        <w:fldChar w:fldCharType="end"/>
      </w:r>
      <w:r w:rsidR="0033012E" w:rsidRPr="00587212">
        <w:rPr>
          <w:rFonts w:eastAsiaTheme="minorEastAsia"/>
          <w:lang w:eastAsia="ko-KR"/>
        </w:rPr>
        <w:t xml:space="preserve">, the </w:t>
      </w:r>
      <w:r w:rsidR="00CB4158" w:rsidRPr="00587212">
        <w:rPr>
          <w:rFonts w:eastAsiaTheme="minorEastAsia"/>
          <w:lang w:eastAsia="ko-KR"/>
        </w:rPr>
        <w:t>perceived</w:t>
      </w:r>
      <w:r w:rsidR="00CB4158" w:rsidRPr="00587212">
        <w:rPr>
          <w:rFonts w:eastAsiaTheme="minorEastAsia" w:hint="eastAsia"/>
          <w:lang w:eastAsia="ko-KR"/>
        </w:rPr>
        <w:t xml:space="preserve"> </w:t>
      </w:r>
      <w:r w:rsidR="00B32808" w:rsidRPr="00587212">
        <w:rPr>
          <w:rFonts w:eastAsiaTheme="minorEastAsia" w:hint="eastAsia"/>
          <w:lang w:eastAsia="ko-KR"/>
        </w:rPr>
        <w:t>qualit</w:t>
      </w:r>
      <w:r w:rsidR="00B45289" w:rsidRPr="00587212">
        <w:rPr>
          <w:rFonts w:eastAsiaTheme="minorEastAsia" w:hint="eastAsia"/>
          <w:lang w:eastAsia="ko-KR"/>
        </w:rPr>
        <w:t xml:space="preserve">y of </w:t>
      </w:r>
      <w:r w:rsidR="0033012E" w:rsidRPr="00587212">
        <w:rPr>
          <w:rFonts w:eastAsiaTheme="minorEastAsia"/>
          <w:lang w:eastAsia="ko-KR"/>
        </w:rPr>
        <w:t>walking infrastructure</w:t>
      </w:r>
      <w:r w:rsidR="00153545" w:rsidRPr="00587212">
        <w:rPr>
          <w:rFonts w:eastAsiaTheme="minorEastAsia" w:hint="eastAsia"/>
          <w:lang w:eastAsia="ko-KR"/>
        </w:rPr>
        <w:t>, such as pavement condition</w:t>
      </w:r>
      <w:r w:rsidR="00DD6936">
        <w:rPr>
          <w:rFonts w:eastAsiaTheme="minorEastAsia"/>
          <w:lang w:eastAsia="ko-KR"/>
        </w:rPr>
        <w:t xml:space="preserve">, sidewalk continuity, and </w:t>
      </w:r>
      <w:r w:rsidR="00153545" w:rsidRPr="00587212">
        <w:rPr>
          <w:rFonts w:eastAsiaTheme="minorEastAsia" w:hint="eastAsia"/>
          <w:lang w:eastAsia="ko-KR"/>
        </w:rPr>
        <w:t xml:space="preserve">aesthetics </w:t>
      </w:r>
      <w:r w:rsidR="00A33B29" w:rsidRPr="00587212">
        <w:rPr>
          <w:rFonts w:eastAsiaTheme="minorEastAsia" w:hint="eastAsia"/>
          <w:lang w:eastAsia="ko-KR"/>
        </w:rPr>
        <w:t xml:space="preserve">along sidewalks, </w:t>
      </w:r>
      <w:r w:rsidR="00DD6936">
        <w:rPr>
          <w:rFonts w:eastAsiaTheme="minorEastAsia"/>
          <w:lang w:eastAsia="ko-KR"/>
        </w:rPr>
        <w:t xml:space="preserve">has been consistently noted to be worse </w:t>
      </w:r>
      <w:r w:rsidR="0033012E" w:rsidRPr="00587212">
        <w:rPr>
          <w:rFonts w:eastAsiaTheme="minorEastAsia"/>
          <w:lang w:eastAsia="ko-KR"/>
        </w:rPr>
        <w:t>in lower SES neighborhoods</w:t>
      </w:r>
      <w:r w:rsidR="00B45289" w:rsidRPr="00587212">
        <w:rPr>
          <w:rFonts w:eastAsiaTheme="minorEastAsia" w:hint="eastAsia"/>
          <w:lang w:eastAsia="ko-KR"/>
        </w:rPr>
        <w:t xml:space="preserve"> </w:t>
      </w:r>
      <w:r w:rsidR="00B45289" w:rsidRPr="00587212">
        <w:rPr>
          <w:rFonts w:eastAsiaTheme="minorEastAsia"/>
          <w:lang w:eastAsia="ko-KR"/>
        </w:rPr>
        <w:fldChar w:fldCharType="begin"/>
      </w:r>
      <w:r w:rsidR="00714083" w:rsidRPr="00587212">
        <w:rPr>
          <w:rFonts w:eastAsiaTheme="minorEastAsia"/>
          <w:lang w:eastAsia="ko-KR"/>
        </w:rPr>
        <w:instrText xml:space="preserve"> ADDIN ZOTERO_ITEM CSL_CITATION {"citationID":"vWbRivhz","properties":{"formattedCitation":"(Sallis et al., 2011; Zandieh et al., 2016)","plainCitation":"(Sallis et al., 2011; Zandieh et al., 2016)","dontUpdate":true,"noteIndex":0},"citationItems":[{"id":824,"uris":["http://zotero.org/users/10132210/items/FALJ3WYC"],"itemData":{"id":824,"type":"article-journal","abstract":"The present study explored whether perceived neighborhood environmental attributes associated with physical activity differ by neighborhood income. Adults aged 20–65 years (n ¼ 2199; 48% female; mean age ¼ 45 years; 26% ethnic minority) were recruited from 32 neighborhoods from the Seattle, WA and Baltimore, MD regions that varied in objectively measured walkability and neighborhood income. Perceived built and social environment variables were assessed with the Neighborhood Environment Walkability Scale. There were neighborhood income disparities on 10 of 15 variables. Residents from high-income neighborhoods reported more favorable esthetics, pedestrian/biking facilities, safety from trafﬁc, safety from crime, and access to recreation facilities than residents of low-income areas (all p’s o 0.001). Low-income neighborhoods may lack amenities and safety attributes that can facilitate high levels of physical activity for both transportation and recreation purposes.","container-title":"Health &amp; Place","DOI":"10.1016/j.healthplace.2011.02.006","ISSN":"13538292","issue":"6","journalAbbreviation":"Health &amp; Place","language":"en","note":"number: 6","page":"1274-1283","source":"DOI.org (Crossref)","title":"Income disparities in perceived neighborhood built and social environment attributes","volume":"17","author":[{"family":"Sallis","given":"James F."},{"family":"Slymen","given":"Donald J."},{"family":"Conway","given":"Terry L."},{"family":"Frank","given":"Lawrence D."},{"family":"Saelens","given":"Brian E."},{"family":"Cain","given":"Kelli"},{"family":"Chapman","given":"James E."}],"issued":{"date-parts":[["2011",11]]}}},{"id":1252,"uris":["http://zotero.org/users/10132210/items/86G37PX3"],"itemData":{"id":1252,"type":"article-journal","abstract":"Older adults living in high-deprivation areas walk less than those living in low-deprivation areas. Previous research has shown that older adults’ outdoor walking levels are related to the neighbourhood built environment. This study examines inequalities in perceived built environment attributes (i.e., safety, pedestrian infrastructure and aesthetics) and their possible inﬂuences on disparities in older adults’ outdoor walking levels in low- and high-deprivation areas of Birmingham, United Kingdom. It applied a mixed-method approach, included 173 participants (65 years and over), used GPS technology to measure outdoor walking levels, used questionnaires (for all participants) and conducted walking interviews (with a sub-sample) to collect data on perceived neighbourhood built environment attributes. The results show inequalities in perceived neighbourhood safety, pedestrian infrastructure and aesthetics in high- versus low-deprivation areas and demonstrate that they may inﬂuence disparities in participants’ outdoor walking levels. Improvements of perceived neighbourhood safety, pedestrian infrastructure and aesthetic in high-deprivation areas are encouraged.","container-title":"International Journal of Environmental Research and Public Health","DOI":"10.3390/ijerph13121179","ISSN":"1660-4601","issue":"12","journalAbbreviation":"IJERPH","language":"en","license":"https://creativecommons.org/licenses/by/4.0/","page":"1179","source":"DOI.org (Crossref)","title":"Older Adults’ Outdoor Walking: Inequalities in Neighbourhood Safety, Pedestrian Infrastructure and Aesthetics","title-short":"Older Adults’ Outdoor Walking","volume":"13","author":[{"family":"Zandieh","given":"Razieh"},{"family":"Martinez","given":"Javier"},{"family":"Flacke","given":"Johannes"},{"family":"Jones","given":"Phil"},{"family":"Van Maarseveen","given":"Martin"}],"issued":{"date-parts":[["2016",11,25]]}}}],"schema":"https://github.com/citation-style-language/schema/raw/master/csl-citation.json"} </w:instrText>
      </w:r>
      <w:r w:rsidR="00B45289" w:rsidRPr="00587212">
        <w:rPr>
          <w:rFonts w:eastAsiaTheme="minorEastAsia"/>
          <w:lang w:eastAsia="ko-KR"/>
        </w:rPr>
        <w:fldChar w:fldCharType="separate"/>
      </w:r>
      <w:r w:rsidR="00B45289" w:rsidRPr="00587212">
        <w:rPr>
          <w:rFonts w:cs="Times"/>
        </w:rPr>
        <w:t>(</w:t>
      </w:r>
      <w:r w:rsidR="00596611" w:rsidRPr="00587212">
        <w:rPr>
          <w:rFonts w:cs="Times"/>
        </w:rPr>
        <w:t xml:space="preserve">see </w:t>
      </w:r>
      <w:r w:rsidR="00B45289" w:rsidRPr="00587212">
        <w:rPr>
          <w:rFonts w:cs="Times"/>
        </w:rPr>
        <w:t>Sallis et al., 2011</w:t>
      </w:r>
      <w:r w:rsidR="00596611" w:rsidRPr="00587212">
        <w:rPr>
          <w:rFonts w:cs="Times"/>
        </w:rPr>
        <w:t>, and</w:t>
      </w:r>
      <w:r w:rsidR="00B45289" w:rsidRPr="00587212">
        <w:rPr>
          <w:rFonts w:cs="Times"/>
        </w:rPr>
        <w:t xml:space="preserve"> Zandieh et al., 2016)</w:t>
      </w:r>
      <w:r w:rsidR="00B45289" w:rsidRPr="00587212">
        <w:rPr>
          <w:rFonts w:eastAsiaTheme="minorEastAsia"/>
          <w:lang w:eastAsia="ko-KR"/>
        </w:rPr>
        <w:fldChar w:fldCharType="end"/>
      </w:r>
      <w:r w:rsidR="00D407AE" w:rsidRPr="00587212">
        <w:rPr>
          <w:rFonts w:eastAsiaTheme="minorEastAsia"/>
          <w:lang w:eastAsia="ko-KR"/>
        </w:rPr>
        <w:t>.</w:t>
      </w:r>
      <w:r w:rsidR="00085A8A" w:rsidRPr="00587212">
        <w:rPr>
          <w:rFonts w:eastAsiaTheme="minorEastAsia"/>
          <w:lang w:eastAsia="ko-KR"/>
        </w:rPr>
        <w:t xml:space="preserve"> </w:t>
      </w:r>
      <w:r w:rsidR="002A14A0" w:rsidRPr="00587212">
        <w:rPr>
          <w:rFonts w:eastAsiaTheme="minorEastAsia"/>
          <w:lang w:eastAsia="ko-KR"/>
        </w:rPr>
        <w:t xml:space="preserve">This outcome highlights how income disparities </w:t>
      </w:r>
      <w:r w:rsidR="00085A8A" w:rsidRPr="00587212">
        <w:rPr>
          <w:rFonts w:eastAsiaTheme="minorEastAsia"/>
          <w:lang w:eastAsia="ko-KR"/>
        </w:rPr>
        <w:t>not only contribute to active living considerations, but then permeate further into public</w:t>
      </w:r>
      <w:r w:rsidR="00085A8A">
        <w:rPr>
          <w:rFonts w:eastAsiaTheme="minorEastAsia"/>
          <w:lang w:eastAsia="ko-KR"/>
        </w:rPr>
        <w:t xml:space="preserve"> health disparities because of the strong connection between physical activity and mental/physical wellness. </w:t>
      </w:r>
    </w:p>
    <w:p w14:paraId="3BFCE48D" w14:textId="77777777" w:rsidR="00662E40" w:rsidRDefault="00662E40" w:rsidP="00662E40">
      <w:pPr>
        <w:ind w:firstLine="720"/>
        <w:jc w:val="both"/>
        <w:rPr>
          <w:rFonts w:eastAsiaTheme="minorEastAsia"/>
          <w:lang w:eastAsia="ko-KR"/>
        </w:rPr>
      </w:pPr>
    </w:p>
    <w:bookmarkEnd w:id="35"/>
    <w:p w14:paraId="416A92B5" w14:textId="45538F4F" w:rsidR="00745536" w:rsidRDefault="005C1D19" w:rsidP="00662E40">
      <w:pPr>
        <w:pStyle w:val="Heading2"/>
        <w:spacing w:line="240" w:lineRule="auto"/>
        <w:ind w:hanging="540"/>
        <w:contextualSpacing w:val="0"/>
        <w:rPr>
          <w:rFonts w:eastAsiaTheme="minorEastAsia"/>
          <w:lang w:eastAsia="ko-KR"/>
        </w:rPr>
      </w:pPr>
      <w:r>
        <w:rPr>
          <w:rFonts w:eastAsiaTheme="minorEastAsia"/>
          <w:lang w:eastAsia="ko-KR"/>
        </w:rPr>
        <w:t>Endogenous Effects and Variance/Correlations</w:t>
      </w:r>
    </w:p>
    <w:p w14:paraId="12C92692" w14:textId="77777777" w:rsidR="005C1D19" w:rsidRDefault="005C1D19" w:rsidP="00662E40">
      <w:pPr>
        <w:jc w:val="both"/>
        <w:rPr>
          <w:rFonts w:eastAsiaTheme="minorEastAsia"/>
          <w:lang w:eastAsia="ko-KR"/>
        </w:rPr>
      </w:pPr>
      <w:r w:rsidRPr="00587212">
        <w:rPr>
          <w:rFonts w:eastAsiaTheme="minorEastAsia"/>
          <w:lang w:eastAsia="ko-KR"/>
        </w:rPr>
        <w:t>Moving on to the e</w:t>
      </w:r>
      <w:r w:rsidRPr="00587212">
        <w:rPr>
          <w:rFonts w:eastAsiaTheme="minorEastAsia" w:hint="eastAsia"/>
          <w:lang w:eastAsia="ko-KR"/>
        </w:rPr>
        <w:t>ndogen</w:t>
      </w:r>
      <w:r w:rsidRPr="00587212">
        <w:rPr>
          <w:rFonts w:eastAsiaTheme="minorEastAsia"/>
          <w:lang w:eastAsia="ko-KR"/>
        </w:rPr>
        <w:t>ous effects</w:t>
      </w:r>
      <w:r w:rsidRPr="00587212">
        <w:rPr>
          <w:rFonts w:eastAsiaTheme="minorEastAsia" w:hint="eastAsia"/>
          <w:lang w:eastAsia="ko-KR"/>
        </w:rPr>
        <w:t xml:space="preserve">, as discussed in </w:t>
      </w:r>
      <w:r w:rsidRPr="00587212">
        <w:rPr>
          <w:rFonts w:eastAsiaTheme="minorEastAsia"/>
          <w:lang w:eastAsia="ko-KR"/>
        </w:rPr>
        <w:fldChar w:fldCharType="begin"/>
      </w:r>
      <w:r w:rsidRPr="00587212">
        <w:rPr>
          <w:rFonts w:eastAsiaTheme="minorEastAsia"/>
          <w:lang w:eastAsia="ko-KR"/>
        </w:rPr>
        <w:instrText xml:space="preserve"> ADDIN ZOTERO_ITEM CSL_CITATION {"citationID":"6LKEJsqd","properties":{"formattedCitation":"(Bhat, 2015)","plainCitation":"(Bhat, 2015)","dontUpdate":true,"noteIndex":0},"citationItems":[{"id":1131,"uris":["http://zotero.org/users/10132210/items/QL3P4LZD"],"itemData":{"id":1131,"type":"article-journal","abstract":"This paper formulates a generalized heterogeneous data model (GHDM) that jointly handles mixed types of dependent variables—including multiple nominal outcomes, multiple ordinal variables, and multiple count variables, as well as multiple continuous variables—by representing the covariance relationships among them through a reduced number of latent factors. Sufﬁciency conditions for identiﬁcation of the GHDM parameters are presented. The maximum approximate composite marginal likelihood (MACML) method is proposed to estimate this jointly mixed model system. This estimation method provides computational time advantages since the dimensionality of integration in the likelihood function is independent of the number of latent factors. The study undertakes a simulation experiment within the virtual context of integrating residential location choice and travel behavior to evaluate the ability of the MACML approach to recover parameters. The simulation results show that the MACML approach effectively recovers underlying parameters, and also that ignoring the multi-dimensional nature of the relationship among mixed types of dependent variables can lead not only to inconsistent parameter estimation, but also have important implications for policy analysis.","container-title":"Transportation Research Part B: Methodological","DOI":"10.1016/j.trb.2015.05.017","ISSN":"01912615","journalAbbreviation":"Transportation Research Part B: Methodological","language":"en","page":"50-77","source":"DOI.org (Crossref)","title":"A new generalized heterogeneous data model (GHDM) to jointly model mixed types of dependent variables","volume":"79","author":[{"family":"Bhat","given":"Chandra R."}],"issued":{"date-parts":[["2015",9]]}}}],"schema":"https://github.com/citation-style-language/schema/raw/master/csl-citation.json"} </w:instrText>
      </w:r>
      <w:r w:rsidRPr="00587212">
        <w:rPr>
          <w:rFonts w:eastAsiaTheme="minorEastAsia"/>
          <w:lang w:eastAsia="ko-KR"/>
        </w:rPr>
        <w:fldChar w:fldCharType="separate"/>
      </w:r>
      <w:r w:rsidRPr="00587212">
        <w:rPr>
          <w:rFonts w:cs="Times"/>
        </w:rPr>
        <w:t xml:space="preserve">Bhat </w:t>
      </w:r>
      <w:r w:rsidRPr="00587212">
        <w:rPr>
          <w:rFonts w:eastAsiaTheme="minorEastAsia" w:cs="Times"/>
          <w:lang w:eastAsia="ko-KR"/>
        </w:rPr>
        <w:t>(</w:t>
      </w:r>
      <w:r w:rsidRPr="00587212">
        <w:rPr>
          <w:rFonts w:cs="Times"/>
        </w:rPr>
        <w:t>2015)</w:t>
      </w:r>
      <w:r w:rsidRPr="00587212">
        <w:rPr>
          <w:rFonts w:eastAsiaTheme="minorEastAsia"/>
          <w:lang w:eastAsia="ko-KR"/>
        </w:rPr>
        <w:fldChar w:fldCharType="end"/>
      </w:r>
      <w:r w:rsidRPr="00587212">
        <w:rPr>
          <w:rFonts w:eastAsiaTheme="minorEastAsia" w:hint="eastAsia"/>
          <w:lang w:eastAsia="ko-KR"/>
        </w:rPr>
        <w:t xml:space="preserve">, </w:t>
      </w:r>
      <w:r w:rsidRPr="00587212">
        <w:rPr>
          <w:rFonts w:eastAsiaTheme="minorEastAsia"/>
          <w:lang w:eastAsia="ko-KR"/>
        </w:rPr>
        <w:t>in</w:t>
      </w:r>
      <w:r>
        <w:rPr>
          <w:rFonts w:eastAsiaTheme="minorEastAsia"/>
          <w:lang w:eastAsia="ko-KR"/>
        </w:rPr>
        <w:t xml:space="preserve"> a </w:t>
      </w:r>
      <w:r w:rsidRPr="009B6343">
        <w:rPr>
          <w:rFonts w:eastAsiaTheme="minorEastAsia"/>
          <w:lang w:eastAsia="ko-KR"/>
        </w:rPr>
        <w:t xml:space="preserve">joint limited dependent </w:t>
      </w:r>
      <w:r>
        <w:rPr>
          <w:rFonts w:eastAsiaTheme="minorEastAsia"/>
          <w:lang w:eastAsia="ko-KR"/>
        </w:rPr>
        <w:t xml:space="preserve">variable model system, </w:t>
      </w:r>
      <w:r w:rsidRPr="009B6343">
        <w:rPr>
          <w:rFonts w:eastAsiaTheme="minorEastAsia"/>
          <w:lang w:eastAsia="ko-KR"/>
        </w:rPr>
        <w:t xml:space="preserve">the causal relationship between endogenous </w:t>
      </w:r>
      <w:r>
        <w:rPr>
          <w:rFonts w:eastAsiaTheme="minorEastAsia"/>
          <w:lang w:eastAsia="ko-KR"/>
        </w:rPr>
        <w:t>outcomes</w:t>
      </w:r>
      <w:r w:rsidRPr="009B6343">
        <w:rPr>
          <w:rFonts w:eastAsiaTheme="minorEastAsia"/>
          <w:lang w:eastAsia="ko-KR"/>
        </w:rPr>
        <w:t xml:space="preserve"> cannot be bidirectional, where </w:t>
      </w:r>
      <w:r>
        <w:rPr>
          <w:rFonts w:eastAsiaTheme="minorEastAsia"/>
          <w:lang w:eastAsia="ko-KR"/>
        </w:rPr>
        <w:t>an</w:t>
      </w:r>
      <w:r w:rsidRPr="009B6343">
        <w:rPr>
          <w:rFonts w:eastAsiaTheme="minorEastAsia"/>
          <w:lang w:eastAsia="ko-KR"/>
        </w:rPr>
        <w:t xml:space="preserve"> observed endogenous </w:t>
      </w:r>
      <w:r>
        <w:rPr>
          <w:rFonts w:eastAsiaTheme="minorEastAsia"/>
          <w:lang w:eastAsia="ko-KR"/>
        </w:rPr>
        <w:t>outcome</w:t>
      </w:r>
      <w:r w:rsidRPr="009B6343">
        <w:rPr>
          <w:rFonts w:eastAsiaTheme="minorEastAsia"/>
          <w:lang w:eastAsia="ko-KR"/>
        </w:rPr>
        <w:t xml:space="preserve"> A affects </w:t>
      </w:r>
      <w:r>
        <w:rPr>
          <w:rFonts w:eastAsiaTheme="minorEastAsia"/>
          <w:lang w:eastAsia="ko-KR"/>
        </w:rPr>
        <w:t>outcome</w:t>
      </w:r>
      <w:r w:rsidRPr="009B6343">
        <w:rPr>
          <w:rFonts w:eastAsiaTheme="minorEastAsia"/>
          <w:lang w:eastAsia="ko-KR"/>
        </w:rPr>
        <w:t xml:space="preserve"> B and </w:t>
      </w:r>
      <w:r>
        <w:rPr>
          <w:rFonts w:eastAsiaTheme="minorEastAsia"/>
          <w:lang w:eastAsia="ko-KR"/>
        </w:rPr>
        <w:t>also outcome B affects outcome A. Additionally</w:t>
      </w:r>
      <w:r w:rsidRPr="009B6343">
        <w:rPr>
          <w:rFonts w:eastAsiaTheme="minorEastAsia"/>
          <w:lang w:eastAsia="ko-KR"/>
        </w:rPr>
        <w:t>, cyclical relationship</w:t>
      </w:r>
      <w:r>
        <w:rPr>
          <w:rFonts w:eastAsiaTheme="minorEastAsia"/>
          <w:lang w:eastAsia="ko-KR"/>
        </w:rPr>
        <w:t>s</w:t>
      </w:r>
      <w:r w:rsidRPr="009B6343">
        <w:rPr>
          <w:rFonts w:eastAsiaTheme="minorEastAsia"/>
          <w:lang w:eastAsia="ko-KR"/>
        </w:rPr>
        <w:t xml:space="preserve">, </w:t>
      </w:r>
      <w:r>
        <w:rPr>
          <w:rFonts w:eastAsiaTheme="minorEastAsia"/>
          <w:lang w:eastAsia="ko-KR"/>
        </w:rPr>
        <w:t>where outcome</w:t>
      </w:r>
      <w:r w:rsidRPr="009B6343">
        <w:rPr>
          <w:rFonts w:eastAsiaTheme="minorEastAsia"/>
          <w:lang w:eastAsia="ko-KR"/>
        </w:rPr>
        <w:t xml:space="preserve"> A affects B, B affects C, and C</w:t>
      </w:r>
      <w:r>
        <w:rPr>
          <w:rFonts w:eastAsiaTheme="minorEastAsia"/>
          <w:lang w:eastAsia="ko-KR"/>
        </w:rPr>
        <w:t xml:space="preserve">, in turn, </w:t>
      </w:r>
      <w:r w:rsidRPr="009B6343">
        <w:rPr>
          <w:rFonts w:eastAsiaTheme="minorEastAsia"/>
          <w:lang w:eastAsia="ko-KR"/>
        </w:rPr>
        <w:t>affects A</w:t>
      </w:r>
      <w:r>
        <w:rPr>
          <w:rFonts w:eastAsiaTheme="minorEastAsia"/>
          <w:lang w:eastAsia="ko-KR"/>
        </w:rPr>
        <w:t>, are not permissible.</w:t>
      </w:r>
      <w:r w:rsidRPr="009B6343">
        <w:rPr>
          <w:rFonts w:eastAsiaTheme="minorEastAsia"/>
          <w:lang w:eastAsia="ko-KR"/>
        </w:rPr>
        <w:t xml:space="preserve"> </w:t>
      </w:r>
      <w:r>
        <w:rPr>
          <w:rFonts w:eastAsiaTheme="minorEastAsia"/>
          <w:lang w:eastAsia="ko-KR"/>
        </w:rPr>
        <w:t>I</w:t>
      </w:r>
      <w:r w:rsidRPr="009B6343">
        <w:rPr>
          <w:rFonts w:eastAsiaTheme="minorEastAsia"/>
          <w:lang w:eastAsia="ko-KR"/>
        </w:rPr>
        <w:t>n the study</w:t>
      </w:r>
      <w:r>
        <w:rPr>
          <w:rFonts w:eastAsiaTheme="minorEastAsia"/>
          <w:lang w:eastAsia="ko-KR"/>
        </w:rPr>
        <w:t xml:space="preserve">, </w:t>
      </w:r>
      <w:r w:rsidRPr="009B6343">
        <w:rPr>
          <w:rFonts w:eastAsiaTheme="minorEastAsia"/>
          <w:lang w:eastAsia="ko-KR"/>
        </w:rPr>
        <w:t>there are</w:t>
      </w:r>
      <w:r>
        <w:rPr>
          <w:rFonts w:eastAsiaTheme="minorEastAsia" w:hint="eastAsia"/>
          <w:lang w:eastAsia="ko-KR"/>
        </w:rPr>
        <w:t xml:space="preserve"> </w:t>
      </w:r>
      <w:r w:rsidRPr="009B6343">
        <w:rPr>
          <w:rFonts w:eastAsiaTheme="minorEastAsia"/>
          <w:lang w:eastAsia="ko-KR"/>
        </w:rPr>
        <w:t xml:space="preserve">six </w:t>
      </w:r>
      <w:r>
        <w:rPr>
          <w:rFonts w:eastAsiaTheme="minorEastAsia" w:hint="eastAsia"/>
          <w:lang w:eastAsia="ko-KR"/>
        </w:rPr>
        <w:t xml:space="preserve">possible </w:t>
      </w:r>
      <w:r w:rsidRPr="009B6343">
        <w:rPr>
          <w:rFonts w:eastAsiaTheme="minorEastAsia"/>
          <w:lang w:eastAsia="ko-KR"/>
        </w:rPr>
        <w:t>combinations of endogenous relationship</w:t>
      </w:r>
      <w:r>
        <w:rPr>
          <w:rFonts w:eastAsiaTheme="minorEastAsia" w:hint="eastAsia"/>
          <w:lang w:eastAsia="ko-KR"/>
        </w:rPr>
        <w:t xml:space="preserve">s. </w:t>
      </w:r>
      <w:r>
        <w:rPr>
          <w:rFonts w:eastAsiaTheme="minorEastAsia"/>
          <w:lang w:eastAsia="ko-KR"/>
        </w:rPr>
        <w:t>By</w:t>
      </w:r>
      <w:r>
        <w:rPr>
          <w:rFonts w:eastAsiaTheme="minorEastAsia" w:hint="eastAsia"/>
          <w:lang w:eastAsia="ko-KR"/>
        </w:rPr>
        <w:t xml:space="preserve"> testing </w:t>
      </w:r>
      <w:r w:rsidRPr="00587212">
        <w:rPr>
          <w:rFonts w:eastAsiaTheme="minorEastAsia" w:hint="eastAsia"/>
          <w:lang w:eastAsia="ko-KR"/>
        </w:rPr>
        <w:t xml:space="preserve">all six possible structures, </w:t>
      </w:r>
      <w:r w:rsidRPr="00587212">
        <w:rPr>
          <w:rFonts w:eastAsiaTheme="minorEastAsia"/>
          <w:lang w:eastAsia="ko-KR"/>
        </w:rPr>
        <w:t xml:space="preserve">we arrive at the preferred endogenous pathway of effects </w:t>
      </w:r>
      <w:r w:rsidRPr="00587212">
        <w:rPr>
          <w:rFonts w:eastAsiaTheme="minorEastAsia" w:hint="eastAsia"/>
          <w:lang w:eastAsia="ko-KR"/>
        </w:rPr>
        <w:t>in Table 4</w:t>
      </w:r>
      <w:r w:rsidRPr="00587212">
        <w:rPr>
          <w:rFonts w:eastAsiaTheme="minorEastAsia"/>
          <w:lang w:eastAsia="ko-KR"/>
        </w:rPr>
        <w:t>. The strong causal effect of SC on frequency and duration (after controlling for unobserved factor effects, as discussed earlier in this section) is consistent with empirical programs that have attempted to increase walking through social engagement, and provides a strong justification for considering companionship in research on walking behavior.</w:t>
      </w:r>
      <w:r w:rsidRPr="00587212">
        <w:rPr>
          <w:rFonts w:eastAsiaTheme="minorEastAsia" w:hint="eastAsia"/>
          <w:lang w:eastAsia="ko-KR"/>
        </w:rPr>
        <w:t xml:space="preserve"> </w:t>
      </w:r>
      <w:r w:rsidRPr="00587212">
        <w:rPr>
          <w:rFonts w:eastAsiaTheme="minorEastAsia"/>
          <w:lang w:eastAsia="ko-KR"/>
        </w:rPr>
        <w:t xml:space="preserve">The other significant endogenous effect </w:t>
      </w:r>
      <w:r w:rsidRPr="00587212">
        <w:rPr>
          <w:rFonts w:eastAsiaTheme="minorEastAsia" w:hint="eastAsia"/>
          <w:lang w:eastAsia="ko-KR"/>
        </w:rPr>
        <w:t xml:space="preserve">from frequency </w:t>
      </w:r>
      <w:r w:rsidRPr="00587212">
        <w:rPr>
          <w:rFonts w:eastAsiaTheme="minorEastAsia"/>
          <w:lang w:eastAsia="ko-KR"/>
        </w:rPr>
        <w:t>on</w:t>
      </w:r>
      <w:r w:rsidRPr="00587212">
        <w:rPr>
          <w:rFonts w:eastAsiaTheme="minorEastAsia" w:hint="eastAsia"/>
          <w:lang w:eastAsia="ko-KR"/>
        </w:rPr>
        <w:t xml:space="preserve"> duration</w:t>
      </w:r>
      <w:r w:rsidRPr="00587212">
        <w:rPr>
          <w:rFonts w:eastAsiaTheme="minorEastAsia"/>
          <w:lang w:eastAsia="ko-KR"/>
        </w:rPr>
        <w:t xml:space="preserve"> is supported by the study of </w:t>
      </w:r>
      <w:r w:rsidRPr="00587212">
        <w:rPr>
          <w:rFonts w:eastAsiaTheme="minorEastAsia"/>
          <w:lang w:eastAsia="ko-KR"/>
        </w:rPr>
        <w:fldChar w:fldCharType="begin"/>
      </w:r>
      <w:r w:rsidRPr="00587212">
        <w:rPr>
          <w:rFonts w:eastAsiaTheme="minorEastAsia"/>
          <w:lang w:eastAsia="ko-KR"/>
        </w:rPr>
        <w:instrText xml:space="preserve"> ADDIN ZOTERO_ITEM CSL_CITATION {"citationID":"nFslxhAG","properties":{"formattedCitation":"(Duncan et al., 2010)","plainCitation":"(Duncan et al., 2010)","dontUpdate":true,"noteIndex":0},"citationItems":[{"id":1133,"uris":["http://zotero.org/users/10132210/items/9UEKFT93"],"itemData":{"id":1133,"type":"article-journal","abstract":"Background: It is important to engage in regular physical activity in order to maintain a healthy lifestyle however a large portion of the population is insufficiently active. Understanding how different types of motivation contribute to exercise behavior is an important first step in identifying ways to increase exercise among individuals. The current study employs self-determination theory as a framework from which to examine how motivation contributes to various characteristics of exercise behavior.\nMethods: Regular exercisers (N = 1079; n = 468 males; n = 612 females) completed inventories which assessed the frequency, intensity, and duration with which they exercise, as well as the Behavioral Regulation in Exercise Questionnaire including four additional items assessing integrated regulation.\nResults: Bivariate correlations revealed that all three behavioral indices (frequency, intensity, and duration of exercise) were more highly correlated with more autonomous than controlling regulations. Regression analyses revealed that integrated and identified regulations predicted exercise frequency for males and females. Integrated regulation was found to be the only predictor of exercise duration across both genders. Finally, introjected regulation predicted exercise intensity for females only.\nConclusions: These findings suggest that exercise regulations that vary in their degree of internalization can differentially predict characteristics of exercise behavior. Furthermore, in the motivational profile of a regular exerciser, integrated regulation appears to be an important determinant of exercise behavior. These results highlight the importance of assessing integrated regulation in exercise settings where the goal of understanding motivated behavior has important health implications.","container-title":"International Journal of Behavioral Nutrition and Physical Activity","DOI":"10.1186/1479-5868-7-7","ISSN":"1479-5868","issue":"1","journalAbbreviation":"Int J Behav Nutr Phys Act","language":"en","page":"7","source":"DOI.org (Crossref)","title":"Exercise motivation: a cross-sectional analysis examining its relationships with frequency, intensity, and duration of exercise","title-short":"Exercise motivation","volume":"7","author":[{"family":"Duncan","given":"Lindsay R"},{"family":"Hall","given":"Craig R"},{"family":"Wilson","given":"Philip M"},{"family":"O","given":"Jenny"}],"issued":{"date-parts":[["2010"]]}}}],"schema":"https://github.com/citation-style-language/schema/raw/master/csl-citation.json"} </w:instrText>
      </w:r>
      <w:r w:rsidRPr="00587212">
        <w:rPr>
          <w:rFonts w:eastAsiaTheme="minorEastAsia"/>
          <w:lang w:eastAsia="ko-KR"/>
        </w:rPr>
        <w:fldChar w:fldCharType="separate"/>
      </w:r>
      <w:r w:rsidRPr="00587212">
        <w:rPr>
          <w:rFonts w:cs="Times"/>
        </w:rPr>
        <w:t xml:space="preserve">Duncan et al. </w:t>
      </w:r>
      <w:r w:rsidRPr="00587212">
        <w:rPr>
          <w:rFonts w:eastAsiaTheme="minorEastAsia" w:cs="Times"/>
          <w:lang w:eastAsia="ko-KR"/>
        </w:rPr>
        <w:t>(</w:t>
      </w:r>
      <w:r w:rsidRPr="00587212">
        <w:rPr>
          <w:rFonts w:cs="Times"/>
        </w:rPr>
        <w:t>2010)</w:t>
      </w:r>
      <w:r w:rsidRPr="00587212">
        <w:rPr>
          <w:rFonts w:eastAsiaTheme="minorEastAsia"/>
          <w:lang w:eastAsia="ko-KR"/>
        </w:rPr>
        <w:fldChar w:fldCharType="end"/>
      </w:r>
      <w:r w:rsidRPr="00587212">
        <w:rPr>
          <w:rFonts w:eastAsiaTheme="minorEastAsia" w:hint="eastAsia"/>
          <w:lang w:eastAsia="ko-KR"/>
        </w:rPr>
        <w:t>, which</w:t>
      </w:r>
      <w:r w:rsidRPr="00587212">
        <w:rPr>
          <w:rFonts w:eastAsiaTheme="minorEastAsia"/>
          <w:lang w:eastAsia="ko-KR"/>
        </w:rPr>
        <w:t xml:space="preserve"> found that exercise frequency is motivated by both integrated (i.e., “I exercise because it is consistent with my values”) and identified (i.e., “It is important for me to exercise regularly”) regulations, while long exercise periods are motivated by identified regulations only. Therefore, “</w:t>
      </w:r>
      <w:r w:rsidRPr="00587212">
        <w:rPr>
          <w:rFonts w:eastAsiaTheme="minorEastAsia" w:hint="eastAsia"/>
          <w:lang w:eastAsia="ko-KR"/>
        </w:rPr>
        <w:t>F</w:t>
      </w:r>
      <w:r w:rsidRPr="00587212">
        <w:rPr>
          <w:rFonts w:eastAsiaTheme="minorEastAsia"/>
          <w:lang w:eastAsia="ko-KR"/>
        </w:rPr>
        <w:t>requent walkers” a</w:t>
      </w:r>
      <w:r w:rsidRPr="00FD14F8">
        <w:rPr>
          <w:rFonts w:eastAsiaTheme="minorEastAsia"/>
          <w:lang w:eastAsia="ko-KR"/>
        </w:rPr>
        <w:t xml:space="preserve">re more likely to be </w:t>
      </w:r>
      <w:r>
        <w:rPr>
          <w:rFonts w:eastAsiaTheme="minorEastAsia"/>
          <w:lang w:eastAsia="ko-KR"/>
        </w:rPr>
        <w:t>“</w:t>
      </w:r>
      <w:r>
        <w:rPr>
          <w:rFonts w:eastAsiaTheme="minorEastAsia" w:hint="eastAsia"/>
          <w:lang w:eastAsia="ko-KR"/>
        </w:rPr>
        <w:t>L</w:t>
      </w:r>
      <w:r w:rsidRPr="00FD14F8">
        <w:rPr>
          <w:rFonts w:eastAsiaTheme="minorEastAsia"/>
          <w:lang w:eastAsia="ko-KR"/>
        </w:rPr>
        <w:t>ong walkers</w:t>
      </w:r>
      <w:r>
        <w:rPr>
          <w:rFonts w:eastAsiaTheme="minorEastAsia"/>
          <w:lang w:eastAsia="ko-KR"/>
        </w:rPr>
        <w:t>”</w:t>
      </w:r>
      <w:r w:rsidRPr="00FD14F8">
        <w:rPr>
          <w:rFonts w:eastAsiaTheme="minorEastAsia"/>
          <w:lang w:eastAsia="ko-KR"/>
        </w:rPr>
        <w:t xml:space="preserve"> than </w:t>
      </w:r>
      <w:r>
        <w:rPr>
          <w:rFonts w:eastAsiaTheme="minorEastAsia" w:hint="eastAsia"/>
          <w:lang w:eastAsia="ko-KR"/>
        </w:rPr>
        <w:t>the opposite</w:t>
      </w:r>
      <w:r w:rsidRPr="00FD14F8">
        <w:rPr>
          <w:rFonts w:eastAsiaTheme="minorEastAsia"/>
          <w:lang w:eastAsia="ko-KR"/>
        </w:rPr>
        <w:t>.</w:t>
      </w:r>
    </w:p>
    <w:p w14:paraId="1A248E40" w14:textId="093EBE7E" w:rsidR="00512086" w:rsidRDefault="00546D81" w:rsidP="00662E40">
      <w:pPr>
        <w:ind w:firstLine="720"/>
        <w:jc w:val="both"/>
        <w:rPr>
          <w:rFonts w:eastAsiaTheme="minorEastAsia"/>
          <w:lang w:eastAsia="ko-KR"/>
        </w:rPr>
      </w:pPr>
      <w:r>
        <w:rPr>
          <w:rFonts w:eastAsiaTheme="minorEastAsia"/>
          <w:lang w:eastAsia="ko-KR"/>
        </w:rPr>
        <w:t xml:space="preserve">The </w:t>
      </w:r>
      <w:r w:rsidR="0048471F">
        <w:rPr>
          <w:rFonts w:eastAsiaTheme="minorEastAsia"/>
          <w:lang w:eastAsia="ko-KR"/>
        </w:rPr>
        <w:t xml:space="preserve">variance of the error term for the </w:t>
      </w:r>
      <w:r w:rsidR="00FB5103">
        <w:rPr>
          <w:rFonts w:eastAsiaTheme="minorEastAsia"/>
          <w:lang w:eastAsia="ko-KR"/>
        </w:rPr>
        <w:t>ln(</w:t>
      </w:r>
      <w:r w:rsidR="0048471F">
        <w:rPr>
          <w:rFonts w:eastAsiaTheme="minorEastAsia"/>
          <w:lang w:eastAsia="ko-KR"/>
        </w:rPr>
        <w:t>w</w:t>
      </w:r>
      <w:r w:rsidR="00FB5103">
        <w:rPr>
          <w:rFonts w:eastAsiaTheme="minorEastAsia"/>
          <w:lang w:eastAsia="ko-KR"/>
        </w:rPr>
        <w:t>alking</w:t>
      </w:r>
      <w:r w:rsidR="0048471F">
        <w:rPr>
          <w:rFonts w:eastAsiaTheme="minorEastAsia"/>
          <w:lang w:eastAsia="ko-KR"/>
        </w:rPr>
        <w:t xml:space="preserve"> duration</w:t>
      </w:r>
      <w:r w:rsidR="00FB5103">
        <w:rPr>
          <w:rFonts w:eastAsiaTheme="minorEastAsia"/>
          <w:lang w:eastAsia="ko-KR"/>
        </w:rPr>
        <w:t>)</w:t>
      </w:r>
      <w:r w:rsidR="0048471F">
        <w:rPr>
          <w:rFonts w:eastAsiaTheme="minorEastAsia"/>
          <w:lang w:eastAsia="ko-KR"/>
        </w:rPr>
        <w:t xml:space="preserve"> </w:t>
      </w:r>
      <w:r w:rsidR="00512086">
        <w:rPr>
          <w:rFonts w:eastAsiaTheme="minorEastAsia"/>
          <w:lang w:eastAsia="ko-KR"/>
        </w:rPr>
        <w:t>dimension (</w:t>
      </w:r>
      <w:r w:rsidR="00662E40" w:rsidRPr="001E03BA">
        <w:rPr>
          <w:position w:val="-12"/>
        </w:rPr>
        <w:object w:dxaOrig="300" w:dyaOrig="360" w14:anchorId="16630848">
          <v:shape id="_x0000_i1085" type="#_x0000_t75" style="width:15pt;height:18pt" o:ole="">
            <v:imagedata r:id="rId129" o:title=""/>
          </v:shape>
          <o:OLEObject Type="Embed" ProgID="Equation.DSMT4" ShapeID="_x0000_i1085" DrawAspect="Content" ObjectID="_1782815670" r:id="rId130"/>
        </w:object>
      </w:r>
      <w:r w:rsidR="00512086">
        <w:t xml:space="preserve"> in Equation (2)) </w:t>
      </w:r>
      <w:r w:rsidR="00512086">
        <w:rPr>
          <w:rFonts w:eastAsiaTheme="minorEastAsia"/>
          <w:lang w:eastAsia="ko-KR"/>
        </w:rPr>
        <w:t xml:space="preserve">is estimated to </w:t>
      </w:r>
      <w:r w:rsidR="001F57F8">
        <w:rPr>
          <w:rFonts w:eastAsiaTheme="minorEastAsia"/>
          <w:lang w:eastAsia="ko-KR"/>
        </w:rPr>
        <w:t xml:space="preserve">be </w:t>
      </w:r>
      <w:r w:rsidR="005915DC">
        <w:rPr>
          <w:rFonts w:eastAsiaTheme="minorEastAsia"/>
          <w:lang w:eastAsia="ko-KR"/>
        </w:rPr>
        <w:t>0.988</w:t>
      </w:r>
      <w:r w:rsidR="00512086">
        <w:rPr>
          <w:rFonts w:eastAsiaTheme="minorEastAsia"/>
          <w:lang w:eastAsia="ko-KR"/>
        </w:rPr>
        <w:t xml:space="preserve">. The </w:t>
      </w:r>
      <w:r w:rsidR="00E22112">
        <w:rPr>
          <w:rFonts w:eastAsiaTheme="minorEastAsia"/>
          <w:lang w:eastAsia="ko-KR"/>
        </w:rPr>
        <w:t xml:space="preserve">row panel labeled </w:t>
      </w:r>
      <w:r w:rsidR="004B673F">
        <w:rPr>
          <w:rFonts w:eastAsiaTheme="minorEastAsia"/>
          <w:lang w:eastAsia="ko-KR"/>
        </w:rPr>
        <w:t>“correlation</w:t>
      </w:r>
      <w:r w:rsidR="005C1D19">
        <w:rPr>
          <w:rFonts w:eastAsiaTheme="minorEastAsia"/>
          <w:lang w:eastAsia="ko-KR"/>
        </w:rPr>
        <w:t>s</w:t>
      </w:r>
      <w:r w:rsidR="004B673F">
        <w:rPr>
          <w:rFonts w:eastAsiaTheme="minorEastAsia"/>
          <w:lang w:eastAsia="ko-KR"/>
        </w:rPr>
        <w:t>” in Table 4 indicates highly statistically significant correlation effects, supporting the notion that the three walking dimensions are chosen as a package</w:t>
      </w:r>
      <w:r w:rsidR="005C1D19">
        <w:rPr>
          <w:rFonts w:eastAsiaTheme="minorEastAsia"/>
          <w:lang w:eastAsia="ko-KR"/>
        </w:rPr>
        <w:t xml:space="preserve"> (the endogenous effects discussed in the previous paragraph are after controlling for these unobserved correlation effects)</w:t>
      </w:r>
      <w:r w:rsidR="004B673F">
        <w:rPr>
          <w:rFonts w:eastAsiaTheme="minorEastAsia"/>
          <w:lang w:eastAsia="ko-KR"/>
        </w:rPr>
        <w:t xml:space="preserve">. The results reveal that unobserved factors that increase SC predisposition also decrease walk frequency propensity </w:t>
      </w:r>
      <w:r w:rsidR="00662E40" w:rsidRPr="00FE4BF5">
        <w:rPr>
          <w:rFonts w:eastAsiaTheme="minorEastAsia"/>
          <w:position w:val="-12"/>
          <w:lang w:eastAsia="ko-KR"/>
        </w:rPr>
        <w:object w:dxaOrig="1320" w:dyaOrig="360" w14:anchorId="075D0CA4">
          <v:shape id="_x0000_i1086" type="#_x0000_t75" style="width:66pt;height:18pt" o:ole="" o:preferrelative="f">
            <v:imagedata r:id="rId131" o:title=""/>
            <o:lock v:ext="edit" aspectratio="f"/>
          </v:shape>
          <o:OLEObject Type="Embed" ProgID="Equation.DSMT4" ShapeID="_x0000_i1086" DrawAspect="Content" ObjectID="_1782815671" r:id="rId132"/>
        </w:object>
      </w:r>
      <w:r w:rsidR="00287DD8">
        <w:rPr>
          <w:rFonts w:eastAsiaTheme="minorEastAsia"/>
          <w:lang w:eastAsia="ko-KR"/>
        </w:rPr>
        <w:t xml:space="preserve"> </w:t>
      </w:r>
      <w:r w:rsidR="004B673F">
        <w:rPr>
          <w:rFonts w:eastAsiaTheme="minorEastAsia"/>
          <w:lang w:eastAsia="ko-KR"/>
        </w:rPr>
        <w:t xml:space="preserve">and </w:t>
      </w:r>
      <w:r w:rsidR="00512086">
        <w:rPr>
          <w:rFonts w:eastAsiaTheme="minorEastAsia"/>
          <w:lang w:eastAsia="ko-KR"/>
        </w:rPr>
        <w:t xml:space="preserve">decrease </w:t>
      </w:r>
      <w:r w:rsidR="004B673F">
        <w:rPr>
          <w:rFonts w:eastAsiaTheme="minorEastAsia"/>
          <w:lang w:eastAsia="ko-KR"/>
        </w:rPr>
        <w:t xml:space="preserve">walk duration </w:t>
      </w:r>
      <w:r w:rsidR="00662E40" w:rsidRPr="00D80269">
        <w:rPr>
          <w:rFonts w:eastAsiaTheme="minorEastAsia"/>
          <w:position w:val="-12"/>
          <w:lang w:eastAsia="ko-KR"/>
        </w:rPr>
        <w:object w:dxaOrig="1380" w:dyaOrig="360" w14:anchorId="629B2DC2">
          <v:shape id="_x0000_i1087" type="#_x0000_t75" style="width:69pt;height:18pt" o:ole="" o:preferrelative="f">
            <v:imagedata r:id="rId133" o:title=""/>
            <o:lock v:ext="edit" aspectratio="f"/>
          </v:shape>
          <o:OLEObject Type="Embed" ProgID="Equation.DSMT4" ShapeID="_x0000_i1087" DrawAspect="Content" ObjectID="_1782815672" r:id="rId134"/>
        </w:object>
      </w:r>
      <m:oMath>
        <m:r>
          <w:rPr>
            <w:rFonts w:ascii="Cambria Math" w:eastAsiaTheme="minorEastAsia" w:hAnsi="Cambria Math"/>
            <w:lang w:eastAsia="ko-KR"/>
          </w:rPr>
          <m:t xml:space="preserve"> </m:t>
        </m:r>
      </m:oMath>
      <w:r w:rsidR="004B673F">
        <w:rPr>
          <w:rFonts w:eastAsiaTheme="minorEastAsia"/>
          <w:lang w:eastAsia="ko-KR"/>
        </w:rPr>
        <w:t xml:space="preserve">For example, individuals who are </w:t>
      </w:r>
      <w:r w:rsidR="00FE3C13">
        <w:rPr>
          <w:rFonts w:eastAsiaTheme="minorEastAsia"/>
          <w:lang w:eastAsia="ko-KR"/>
        </w:rPr>
        <w:t>ex</w:t>
      </w:r>
      <w:r w:rsidR="004B673F">
        <w:rPr>
          <w:rFonts w:eastAsiaTheme="minorEastAsia"/>
          <w:lang w:eastAsia="ko-KR"/>
        </w:rPr>
        <w:t xml:space="preserve">troverted may be the </w:t>
      </w:r>
      <w:r w:rsidR="004B673F">
        <w:rPr>
          <w:rFonts w:eastAsiaTheme="minorEastAsia"/>
          <w:lang w:eastAsia="ko-KR"/>
        </w:rPr>
        <w:lastRenderedPageBreak/>
        <w:t xml:space="preserve">ones who </w:t>
      </w:r>
      <w:r w:rsidR="001F57F8">
        <w:rPr>
          <w:rFonts w:eastAsiaTheme="minorEastAsia"/>
          <w:lang w:eastAsia="ko-KR"/>
        </w:rPr>
        <w:t>enjoy</w:t>
      </w:r>
      <w:r w:rsidR="00FE3C13">
        <w:rPr>
          <w:rFonts w:eastAsiaTheme="minorEastAsia"/>
          <w:lang w:eastAsia="ko-KR"/>
        </w:rPr>
        <w:t xml:space="preserve"> </w:t>
      </w:r>
      <w:r w:rsidR="004B673F">
        <w:rPr>
          <w:rFonts w:eastAsiaTheme="minorEastAsia"/>
          <w:lang w:eastAsia="ko-KR"/>
        </w:rPr>
        <w:t xml:space="preserve">group walking, </w:t>
      </w:r>
      <w:r w:rsidR="00FE3C13">
        <w:rPr>
          <w:rFonts w:eastAsiaTheme="minorEastAsia"/>
          <w:lang w:eastAsia="ko-KR"/>
        </w:rPr>
        <w:t xml:space="preserve">but also intrinsically prefer </w:t>
      </w:r>
      <w:r w:rsidR="00FE3C13" w:rsidRPr="00587212">
        <w:rPr>
          <w:rFonts w:eastAsiaTheme="minorEastAsia"/>
          <w:lang w:eastAsia="ko-KR"/>
        </w:rPr>
        <w:t xml:space="preserve">inactive leisure pursuits </w:t>
      </w:r>
      <w:r w:rsidR="001F57F8" w:rsidRPr="00587212">
        <w:rPr>
          <w:rFonts w:eastAsiaTheme="minorEastAsia"/>
          <w:lang w:eastAsia="ko-KR"/>
        </w:rPr>
        <w:t xml:space="preserve">(rather than being physically active) </w:t>
      </w:r>
      <w:r w:rsidR="00FE3C13" w:rsidRPr="00587212">
        <w:rPr>
          <w:rFonts w:eastAsiaTheme="minorEastAsia"/>
          <w:lang w:eastAsia="ko-KR"/>
        </w:rPr>
        <w:t xml:space="preserve">to maximize social time and conversations. Equivalently, individuals who are introverted may prefer to partake </w:t>
      </w:r>
      <w:r w:rsidR="001F57F8" w:rsidRPr="00587212">
        <w:rPr>
          <w:rFonts w:eastAsiaTheme="minorEastAsia"/>
          <w:lang w:eastAsia="ko-KR"/>
        </w:rPr>
        <w:t xml:space="preserve">alone </w:t>
      </w:r>
      <w:r w:rsidR="00FE3C13" w:rsidRPr="00587212">
        <w:rPr>
          <w:rFonts w:eastAsiaTheme="minorEastAsia"/>
          <w:lang w:eastAsia="ko-KR"/>
        </w:rPr>
        <w:t>in walking as a means of refreshment and solitude</w:t>
      </w:r>
      <w:r w:rsidR="00512086" w:rsidRPr="00587212">
        <w:rPr>
          <w:rFonts w:eastAsiaTheme="minorEastAsia"/>
          <w:lang w:eastAsia="ko-KR"/>
        </w:rPr>
        <w:t xml:space="preserve"> (and an escape from </w:t>
      </w:r>
      <w:r w:rsidR="001F57F8" w:rsidRPr="00587212">
        <w:rPr>
          <w:rFonts w:eastAsiaTheme="minorEastAsia"/>
          <w:lang w:eastAsia="ko-KR"/>
        </w:rPr>
        <w:t xml:space="preserve">what they may view as banal </w:t>
      </w:r>
      <w:r w:rsidR="00512086" w:rsidRPr="00587212">
        <w:rPr>
          <w:rFonts w:eastAsiaTheme="minorEastAsia"/>
          <w:lang w:eastAsia="ko-KR"/>
        </w:rPr>
        <w:t>social chatter</w:t>
      </w:r>
      <w:r w:rsidR="001F57F8" w:rsidRPr="00587212">
        <w:rPr>
          <w:rFonts w:eastAsiaTheme="minorEastAsia"/>
          <w:lang w:eastAsia="ko-KR"/>
        </w:rPr>
        <w:t xml:space="preserve">; </w:t>
      </w:r>
      <w:r w:rsidR="00FE3C13" w:rsidRPr="00587212">
        <w:rPr>
          <w:rFonts w:eastAsiaTheme="minorEastAsia"/>
          <w:lang w:eastAsia="ko-KR"/>
        </w:rPr>
        <w:t>see</w:t>
      </w:r>
      <w:r w:rsidR="003B3F4D" w:rsidRPr="00587212">
        <w:rPr>
          <w:rFonts w:eastAsiaTheme="minorEastAsia"/>
          <w:lang w:eastAsia="ko-KR"/>
        </w:rPr>
        <w:fldChar w:fldCharType="begin"/>
      </w:r>
      <w:r w:rsidR="00714083" w:rsidRPr="00587212">
        <w:rPr>
          <w:rFonts w:eastAsiaTheme="minorEastAsia"/>
          <w:lang w:eastAsia="ko-KR"/>
        </w:rPr>
        <w:instrText xml:space="preserve"> ADDIN ZOTERO_ITEM CSL_CITATION {"citationID":"9w5sSi1F","properties":{"formattedCitation":"(Veitch et al., 2020)","plainCitation":"(Veitch et al., 2020)","dontUpdate":true,"noteIndex":0},"citationItems":[{"id":1114,"uris":["http://zotero.org/users/10132210/items/68XZ2CKK"],"itemData":{"id":1114,"type":"article-journal","abstract":"The proportion of older adults in the population is increasing and ageing is associated with poorer physical, mental and social health. Hence, there is increasing need for community facilities that are appealing and suitable to older adults and promote good health and well-being. Visiting parks has been shown to facilitate a multitude of physical, psychological, and social health beneﬁts; however, the frequency of park visitation by older adults is low. A better understanding of the needs and preferences of park features among older adults will help park designers to create parks that encourage their visitation. The aim of this qualitative walk-along study was to explore park features that inﬂuence park visitation, park-based physical activity and social interaction among older adults (65+ years). Participants (n = 30, mean age = 74.9 years [sd 5.4)], 50 % female) were interviewed by a researcher while walking in one of eight diverse parks located in varying socio-economic status areas of metropolitan Melbourne, Australia. All interviews were transcribed verbatim and analysed using NVivo 12 software. Participants primarily reported using parks for walking, sitting/relaxing, enjoying nature and socialising with others and walking was the preferred park-based activity. Park features highly valued for visitation included: a well-maintained, peaceful and attractive environment with established trees, gardens and birdlife; seating; pleasant paths; toilets; cafés; water features; shade/shelter; facilities for grandchildren; and the presence of other people. Features most valued for physical activity included walking paths, organised activities, and ﬁtness equipment. Features most valued for social interaction included picnic/barbecue facilities, organised events, a café and aesthetics. This evidence is important for policy and decision makers, urban planning, landscape architects, and local, state and national government organisations to ensure our parks are designed to support older adults to lead healthy and active lives.","container-title":"Urban Forestry &amp; Urban Greening","DOI":"10.1016/j.ufug.2020.126768","ISSN":"16188667","journalAbbreviation":"Urban Forestry &amp; Urban Greening","language":"en","page":"126768","source":"DOI.org (Crossref)","title":"Designing parks for older adults: A qualitative study using walk-along interviews","title-short":"Designing parks for older adults","volume":"54","author":[{"family":"Veitch","given":"Jenny"},{"family":"Flowers","given":"Elliott"},{"family":"Ball","given":"Kylie"},{"family":"Deforche","given":"Benedicte"},{"family":"Timperio","given":"Anna"}],"issued":{"date-parts":[["2020",10]]}}}],"schema":"https://github.com/citation-style-language/schema/raw/master/csl-citation.json"} </w:instrText>
      </w:r>
      <w:r w:rsidR="003B3F4D" w:rsidRPr="00587212">
        <w:rPr>
          <w:rFonts w:eastAsiaTheme="minorEastAsia"/>
          <w:lang w:eastAsia="ko-KR"/>
        </w:rPr>
        <w:fldChar w:fldCharType="separate"/>
      </w:r>
      <w:r w:rsidR="00287DD8" w:rsidRPr="00587212">
        <w:rPr>
          <w:rFonts w:cs="Times"/>
        </w:rPr>
        <w:t xml:space="preserve"> </w:t>
      </w:r>
      <w:r w:rsidR="003B3F4D" w:rsidRPr="00587212">
        <w:rPr>
          <w:rFonts w:cs="Times"/>
        </w:rPr>
        <w:t>Veitch et al., 2020)</w:t>
      </w:r>
      <w:r w:rsidR="003B3F4D" w:rsidRPr="00587212">
        <w:rPr>
          <w:rFonts w:eastAsiaTheme="minorEastAsia"/>
          <w:lang w:eastAsia="ko-KR"/>
        </w:rPr>
        <w:fldChar w:fldCharType="end"/>
      </w:r>
      <w:r w:rsidR="00FE3C13" w:rsidRPr="00587212">
        <w:rPr>
          <w:rFonts w:eastAsiaTheme="minorEastAsia"/>
          <w:lang w:eastAsia="ko-KR"/>
        </w:rPr>
        <w:t>. Further, if such unobserved negative correlations</w:t>
      </w:r>
      <w:r w:rsidR="00512086" w:rsidRPr="00587212">
        <w:rPr>
          <w:rFonts w:eastAsiaTheme="minorEastAsia"/>
          <w:lang w:eastAsia="ko-KR"/>
        </w:rPr>
        <w:t xml:space="preserve"> a</w:t>
      </w:r>
      <w:r w:rsidR="00FE3C13" w:rsidRPr="00587212">
        <w:rPr>
          <w:rFonts w:eastAsiaTheme="minorEastAsia"/>
          <w:lang w:eastAsia="ko-KR"/>
        </w:rPr>
        <w:t xml:space="preserve">re not considered, they would incorrectly manifest themselves </w:t>
      </w:r>
      <w:r w:rsidR="00512086" w:rsidRPr="00587212">
        <w:rPr>
          <w:rFonts w:eastAsiaTheme="minorEastAsia"/>
          <w:lang w:eastAsia="ko-KR"/>
        </w:rPr>
        <w:t>as</w:t>
      </w:r>
      <w:r w:rsidR="00FE3C13" w:rsidRPr="00587212">
        <w:rPr>
          <w:rFonts w:eastAsiaTheme="minorEastAsia"/>
          <w:lang w:eastAsia="ko-KR"/>
        </w:rPr>
        <w:t xml:space="preserve"> a </w:t>
      </w:r>
      <w:r w:rsidR="00C82D72" w:rsidRPr="00587212">
        <w:rPr>
          <w:rFonts w:eastAsiaTheme="minorEastAsia"/>
          <w:lang w:eastAsia="ko-KR"/>
        </w:rPr>
        <w:t>negative endogenous SC effect</w:t>
      </w:r>
      <w:r w:rsidR="00FE3C13" w:rsidRPr="00587212">
        <w:rPr>
          <w:rFonts w:eastAsiaTheme="minorEastAsia"/>
          <w:lang w:eastAsia="ko-KR"/>
        </w:rPr>
        <w:t xml:space="preserve"> on walk frequency and duration. That is, the “true” causal positive SC effect</w:t>
      </w:r>
      <w:r w:rsidR="005C1D19">
        <w:rPr>
          <w:rFonts w:eastAsiaTheme="minorEastAsia"/>
          <w:lang w:eastAsia="ko-KR"/>
        </w:rPr>
        <w:t>s</w:t>
      </w:r>
      <w:r w:rsidR="00FE3C13" w:rsidRPr="00587212">
        <w:rPr>
          <w:rFonts w:eastAsiaTheme="minorEastAsia"/>
          <w:lang w:eastAsia="ko-KR"/>
        </w:rPr>
        <w:t xml:space="preserve"> on walking frequency and duration that we obtained, as </w:t>
      </w:r>
      <w:r w:rsidR="005C1D19">
        <w:rPr>
          <w:rFonts w:eastAsiaTheme="minorEastAsia"/>
          <w:lang w:eastAsia="ko-KR"/>
        </w:rPr>
        <w:t>discussed earlier</w:t>
      </w:r>
      <w:r w:rsidR="00FE3C13" w:rsidRPr="00587212">
        <w:rPr>
          <w:rFonts w:eastAsiaTheme="minorEastAsia"/>
          <w:lang w:eastAsia="ko-KR"/>
        </w:rPr>
        <w:t>, would get underestimated</w:t>
      </w:r>
      <w:r w:rsidR="0048471F" w:rsidRPr="00587212">
        <w:rPr>
          <w:rFonts w:eastAsiaTheme="minorEastAsia"/>
          <w:lang w:eastAsia="ko-KR"/>
        </w:rPr>
        <w:t xml:space="preserve"> </w:t>
      </w:r>
      <w:r w:rsidR="00512086" w:rsidRPr="00587212">
        <w:rPr>
          <w:rFonts w:eastAsiaTheme="minorEastAsia"/>
          <w:lang w:eastAsia="ko-KR"/>
        </w:rPr>
        <w:t xml:space="preserve">or even be </w:t>
      </w:r>
      <w:r w:rsidR="0048471F" w:rsidRPr="00587212">
        <w:rPr>
          <w:rFonts w:eastAsiaTheme="minorEastAsia"/>
          <w:lang w:eastAsia="ko-KR"/>
        </w:rPr>
        <w:t xml:space="preserve">potentially </w:t>
      </w:r>
      <w:r w:rsidR="00512086" w:rsidRPr="00587212">
        <w:rPr>
          <w:rFonts w:eastAsiaTheme="minorEastAsia"/>
          <w:lang w:eastAsia="ko-KR"/>
        </w:rPr>
        <w:t>completely overturned</w:t>
      </w:r>
      <w:r w:rsidR="0048471F" w:rsidRPr="00587212">
        <w:rPr>
          <w:rFonts w:eastAsiaTheme="minorEastAsia"/>
          <w:lang w:eastAsia="ko-KR"/>
        </w:rPr>
        <w:t>. Similarly, our results show a strong positive correlation effect between the error terms for frequency and duration</w:t>
      </w:r>
      <w:r w:rsidR="00577190" w:rsidRPr="00587212">
        <w:rPr>
          <w:rFonts w:eastAsiaTheme="minorEastAsia"/>
          <w:lang w:eastAsia="ko-KR"/>
        </w:rPr>
        <w:t xml:space="preserve"> </w:t>
      </w:r>
      <w:r w:rsidR="00662E40" w:rsidRPr="00587212">
        <w:rPr>
          <w:position w:val="-12"/>
        </w:rPr>
        <w:object w:dxaOrig="1240" w:dyaOrig="360" w14:anchorId="225FE31D">
          <v:shape id="_x0000_i1088" type="#_x0000_t75" style="width:62.15pt;height:18pt" o:ole="" o:preferrelative="f">
            <v:imagedata r:id="rId135" o:title=""/>
            <o:lock v:ext="edit" aspectratio="f"/>
          </v:shape>
          <o:OLEObject Type="Embed" ProgID="Equation.DSMT4" ShapeID="_x0000_i1088" DrawAspect="Content" ObjectID="_1782815673" r:id="rId136"/>
        </w:object>
      </w:r>
      <w:r w:rsidR="0048471F" w:rsidRPr="00587212">
        <w:rPr>
          <w:rFonts w:eastAsiaTheme="minorEastAsia"/>
          <w:lang w:eastAsia="ko-KR"/>
        </w:rPr>
        <w:t xml:space="preserve"> This suggests the presence of unobserved individual factors, such as an intrinsic active lifestyle preference, that elevates both walking frequency and duration simultaneously</w:t>
      </w:r>
      <w:r w:rsidR="000A36C6" w:rsidRPr="00587212">
        <w:rPr>
          <w:rFonts w:eastAsiaTheme="minorEastAsia"/>
          <w:lang w:eastAsia="ko-KR"/>
        </w:rPr>
        <w:t xml:space="preserve">; thus, “Outdoorsy” individuals will enjoy spending time often outdoors and also tend to walk for longer durations. </w:t>
      </w:r>
    </w:p>
    <w:p w14:paraId="14601D50" w14:textId="77777777" w:rsidR="00662E40" w:rsidRPr="00587212" w:rsidRDefault="00662E40" w:rsidP="00662E40">
      <w:pPr>
        <w:ind w:firstLine="720"/>
        <w:jc w:val="both"/>
        <w:rPr>
          <w:rFonts w:eastAsiaTheme="minorEastAsia"/>
          <w:lang w:eastAsia="ko-KR"/>
        </w:rPr>
      </w:pPr>
    </w:p>
    <w:p w14:paraId="4C66F52C" w14:textId="3AF12A45" w:rsidR="0027056D" w:rsidRDefault="0027056D" w:rsidP="00662E40">
      <w:pPr>
        <w:pStyle w:val="Heading2"/>
        <w:spacing w:line="240" w:lineRule="auto"/>
        <w:ind w:hanging="540"/>
        <w:contextualSpacing w:val="0"/>
        <w:rPr>
          <w:lang w:eastAsia="ko-KR"/>
        </w:rPr>
      </w:pPr>
      <w:r>
        <w:rPr>
          <w:lang w:eastAsia="ko-KR"/>
        </w:rPr>
        <w:t>Goodness-of-</w:t>
      </w:r>
      <w:r w:rsidR="00596611">
        <w:rPr>
          <w:lang w:eastAsia="ko-KR"/>
        </w:rPr>
        <w:t>F</w:t>
      </w:r>
      <w:r>
        <w:rPr>
          <w:lang w:eastAsia="ko-KR"/>
        </w:rPr>
        <w:t>it</w:t>
      </w:r>
      <w:r w:rsidR="00852965">
        <w:rPr>
          <w:rFonts w:eastAsiaTheme="minorEastAsia" w:hint="eastAsia"/>
          <w:lang w:eastAsia="ko-KR"/>
        </w:rPr>
        <w:t xml:space="preserve"> Measures</w:t>
      </w:r>
    </w:p>
    <w:p w14:paraId="33BF52D2" w14:textId="76D90E8A" w:rsidR="00577190" w:rsidRDefault="0027056D" w:rsidP="00662E40">
      <w:pPr>
        <w:jc w:val="both"/>
      </w:pPr>
      <w:r>
        <w:t>W</w:t>
      </w:r>
      <w:r w:rsidR="00577190">
        <w:t xml:space="preserve">e assess the performance of our proposed multivariate model, by conducting a comparative analysis against (i) an independent model that disregards correlations, and (ii) a </w:t>
      </w:r>
      <w:r w:rsidR="00C7113C">
        <w:rPr>
          <w:rFonts w:eastAsiaTheme="minorEastAsia" w:hint="eastAsia"/>
          <w:lang w:eastAsia="ko-KR"/>
        </w:rPr>
        <w:t>constants</w:t>
      </w:r>
      <w:r w:rsidR="00577190">
        <w:t>-only model</w:t>
      </w:r>
      <w:r w:rsidR="00C7113C">
        <w:rPr>
          <w:rFonts w:eastAsiaTheme="minorEastAsia" w:hint="eastAsia"/>
          <w:lang w:eastAsia="ko-KR"/>
        </w:rPr>
        <w:t xml:space="preserve">, which has only thresholds for </w:t>
      </w:r>
      <w:r w:rsidR="00F5404E">
        <w:rPr>
          <w:rFonts w:eastAsiaTheme="minorEastAsia" w:hint="eastAsia"/>
          <w:lang w:eastAsia="ko-KR"/>
        </w:rPr>
        <w:t>frequency and SC,</w:t>
      </w:r>
      <w:r w:rsidR="00050DDD">
        <w:rPr>
          <w:rFonts w:eastAsiaTheme="minorEastAsia" w:hint="eastAsia"/>
          <w:lang w:eastAsia="ko-KR"/>
        </w:rPr>
        <w:t xml:space="preserve"> and</w:t>
      </w:r>
      <w:r w:rsidR="00C7113C">
        <w:rPr>
          <w:rFonts w:eastAsiaTheme="minorEastAsia" w:hint="eastAsia"/>
          <w:lang w:eastAsia="ko-KR"/>
        </w:rPr>
        <w:t xml:space="preserve"> constant and </w:t>
      </w:r>
      <w:r w:rsidR="00050DDD">
        <w:rPr>
          <w:rFonts w:eastAsiaTheme="minorEastAsia" w:hint="eastAsia"/>
          <w:lang w:eastAsia="ko-KR"/>
        </w:rPr>
        <w:t>variance</w:t>
      </w:r>
      <w:r w:rsidR="00F5404E">
        <w:rPr>
          <w:rFonts w:eastAsiaTheme="minorEastAsia" w:hint="eastAsia"/>
          <w:lang w:eastAsia="ko-KR"/>
        </w:rPr>
        <w:t xml:space="preserve"> for duration</w:t>
      </w:r>
      <w:r w:rsidR="00577190">
        <w:t xml:space="preserve">. Several metrics can be used for this comparison. The Bayesian Information Criterion statistic, defined as  </w:t>
      </w:r>
      <w:r w:rsidR="00662E40" w:rsidRPr="007F18E6">
        <w:rPr>
          <w:position w:val="-18"/>
        </w:rPr>
        <w:object w:dxaOrig="6340" w:dyaOrig="480" w14:anchorId="62F9BD25">
          <v:shape id="_x0000_i1089" type="#_x0000_t75" style="width:316.3pt;height:24pt" o:ole="" o:preferrelative="f">
            <v:imagedata r:id="rId137" o:title=""/>
            <o:lock v:ext="edit" aspectratio="f"/>
          </v:shape>
          <o:OLEObject Type="Embed" ProgID="Equation.DSMT4" ShapeID="_x0000_i1089" DrawAspect="Content" ObjectID="_1782815674" r:id="rId138"/>
        </w:object>
      </w:r>
      <w:r w:rsidR="00577190">
        <w:t xml:space="preserve"> where </w:t>
      </w:r>
      <w:r w:rsidR="00662E40" w:rsidRPr="007F18E6">
        <w:rPr>
          <w:position w:val="-10"/>
        </w:rPr>
        <w:object w:dxaOrig="499" w:dyaOrig="380" w14:anchorId="21DA2E34">
          <v:shape id="_x0000_i1090" type="#_x0000_t75" style="width:25.3pt;height:18.85pt" o:ole="" o:preferrelative="f">
            <v:imagedata r:id="rId139" o:title=""/>
            <o:lock v:ext="edit" aspectratio="f"/>
          </v:shape>
          <o:OLEObject Type="Embed" ProgID="Equation.DSMT4" ShapeID="_x0000_i1090" DrawAspect="Content" ObjectID="_1782815675" r:id="rId140"/>
        </w:object>
      </w:r>
      <w:r w:rsidR="00577190" w:rsidRPr="009101D8">
        <w:t xml:space="preserve"> </w:t>
      </w:r>
      <w:r w:rsidR="00577190">
        <w:t xml:space="preserve">is the log-likelihood value at convergence, </w:t>
      </w:r>
      <w:r w:rsidR="00577190" w:rsidRPr="00577190">
        <w:t xml:space="preserve">indicates superior model performance for the joint model due to its lower BIC value compared to the independent </w:t>
      </w:r>
      <w:r w:rsidR="00596611">
        <w:t xml:space="preserve">and thresholds-only </w:t>
      </w:r>
      <w:r w:rsidR="00577190" w:rsidRPr="00577190">
        <w:t>model</w:t>
      </w:r>
      <w:r w:rsidR="00596611">
        <w:t>s</w:t>
      </w:r>
      <w:r w:rsidR="00577190" w:rsidRPr="00577190">
        <w:t>.</w:t>
      </w:r>
      <w:r w:rsidR="00577190">
        <w:t xml:space="preserve"> </w:t>
      </w:r>
      <w:r w:rsidR="00577190" w:rsidRPr="00577190">
        <w:rPr>
          <w:color w:val="0D0D0D"/>
          <w:shd w:val="clear" w:color="auto" w:fill="FFFFFF"/>
        </w:rPr>
        <w:t xml:space="preserve">Moreover, the higher values of the average probability of correct prediction and the adjusted likelihood ratio index </w:t>
      </w:r>
      <w:r w:rsidR="00662E40" w:rsidRPr="007F18E6">
        <w:rPr>
          <w:position w:val="-10"/>
        </w:rPr>
        <w:object w:dxaOrig="320" w:dyaOrig="360" w14:anchorId="6E0055CC">
          <v:shape id="_x0000_i1091" type="#_x0000_t75" style="width:15.85pt;height:18pt" o:ole="" o:preferrelative="f">
            <v:imagedata r:id="rId141" o:title=""/>
            <o:lock v:ext="edit" aspectratio="f"/>
          </v:shape>
          <o:OLEObject Type="Embed" ProgID="Equation.DSMT4" ShapeID="_x0000_i1091" DrawAspect="Content" ObjectID="_1782815676" r:id="rId142"/>
        </w:object>
      </w:r>
      <w:r w:rsidR="00577190" w:rsidRPr="00121091">
        <w:t xml:space="preserve"> </w:t>
      </w:r>
      <w:r w:rsidR="00577190">
        <w:rPr>
          <w:color w:val="0D0D0D"/>
          <w:shd w:val="clear" w:color="auto" w:fill="FFFFFF"/>
        </w:rPr>
        <w:t xml:space="preserve"> f</w:t>
      </w:r>
      <w:r w:rsidR="00577190" w:rsidRPr="00577190">
        <w:rPr>
          <w:color w:val="0D0D0D"/>
          <w:shd w:val="clear" w:color="auto" w:fill="FFFFFF"/>
        </w:rPr>
        <w:t>or the joint model reflect its improved performance compared to the independent model.</w:t>
      </w:r>
      <w:r w:rsidR="00577190">
        <w:t xml:space="preserve"> The </w:t>
      </w:r>
      <w:r w:rsidR="00662E40" w:rsidRPr="007F18E6">
        <w:rPr>
          <w:position w:val="-10"/>
        </w:rPr>
        <w:object w:dxaOrig="320" w:dyaOrig="360" w14:anchorId="777920D3">
          <v:shape id="_x0000_i1092" type="#_x0000_t75" style="width:15.85pt;height:18pt" o:ole="" o:preferrelative="f">
            <v:imagedata r:id="rId143" o:title=""/>
            <o:lock v:ext="edit" aspectratio="f"/>
          </v:shape>
          <o:OLEObject Type="Embed" ProgID="Equation.DSMT4" ShapeID="_x0000_i1092" DrawAspect="Content" ObjectID="_1782815677" r:id="rId144"/>
        </w:object>
      </w:r>
      <w:r w:rsidR="00577190">
        <w:t xml:space="preserve"> index is calculated as follows:</w:t>
      </w:r>
    </w:p>
    <w:p w14:paraId="4DD9239F" w14:textId="7AB1790B" w:rsidR="00577190" w:rsidRDefault="00662E40" w:rsidP="00662E40">
      <w:pPr>
        <w:spacing w:before="60" w:after="60"/>
        <w:jc w:val="both"/>
      </w:pPr>
      <w:r w:rsidRPr="007F18E6">
        <w:rPr>
          <w:position w:val="-28"/>
        </w:rPr>
        <w:object w:dxaOrig="1800" w:dyaOrig="720" w14:anchorId="7CED3962">
          <v:shape id="_x0000_i1093" type="#_x0000_t75" style="width:90pt;height:36pt" o:ole="" o:preferrelative="f">
            <v:imagedata r:id="rId145" o:title=""/>
            <o:lock v:ext="edit" aspectratio="f"/>
          </v:shape>
          <o:OLEObject Type="Embed" ProgID="Equation.DSMT4" ShapeID="_x0000_i1093" DrawAspect="Content" ObjectID="_1782815678" r:id="rId146"/>
        </w:object>
      </w:r>
      <w:r w:rsidR="00577190">
        <w:tab/>
      </w:r>
      <w:r w:rsidR="00577190">
        <w:tab/>
      </w:r>
      <w:r w:rsidR="00577190">
        <w:tab/>
      </w:r>
      <w:r w:rsidR="00577190">
        <w:tab/>
      </w:r>
      <w:r w:rsidR="00577190">
        <w:tab/>
      </w:r>
      <w:r w:rsidR="00577190">
        <w:tab/>
      </w:r>
      <w:r w:rsidR="00577190">
        <w:tab/>
      </w:r>
      <w:r w:rsidR="00577190">
        <w:tab/>
      </w:r>
      <w:r w:rsidR="00577190">
        <w:tab/>
      </w:r>
      <w:r w:rsidR="00577190">
        <w:tab/>
        <w:t xml:space="preserve">       (4)</w:t>
      </w:r>
    </w:p>
    <w:p w14:paraId="191D040E" w14:textId="468D394F" w:rsidR="00577190" w:rsidRDefault="00577190" w:rsidP="00662E40">
      <w:pPr>
        <w:jc w:val="both"/>
      </w:pPr>
      <w:r>
        <w:t xml:space="preserve">In the above equation, </w:t>
      </w:r>
      <w:r w:rsidRPr="00530825">
        <w:rPr>
          <w:i/>
          <w:iCs/>
        </w:rPr>
        <w:t>L</w:t>
      </w:r>
      <w:r>
        <w:t>(</w:t>
      </w:r>
      <w:r w:rsidRPr="00530825">
        <w:t>c</w:t>
      </w:r>
      <w:r>
        <w:t xml:space="preserve">) represents the </w:t>
      </w:r>
      <w:r w:rsidR="0068736A">
        <w:t>constants</w:t>
      </w:r>
      <w:r>
        <w:t xml:space="preserve">-only log-likelihood function at convergence and </w:t>
      </w:r>
      <w:r w:rsidRPr="00FC5247">
        <w:rPr>
          <w:i/>
          <w:iCs/>
        </w:rPr>
        <w:t>M</w:t>
      </w:r>
      <w:r w:rsidRPr="00530825">
        <w:t xml:space="preserve"> </w:t>
      </w:r>
      <w:r>
        <w:t xml:space="preserve">is the number of parameters estimated in the model (excluding the </w:t>
      </w:r>
      <w:r w:rsidR="0068736A">
        <w:t xml:space="preserve">constants and </w:t>
      </w:r>
      <w:r>
        <w:t xml:space="preserve">thresholds). </w:t>
      </w:r>
      <w:r w:rsidR="0068736A">
        <w:t>We are also able to statistically compare the data fit performance of our multivariate model with that of the independent model and the constants-only model using nested likelihood ratio tests. More intuitively, we compare the models using the average probability of correct prediction. The results, shown in Table 5,</w:t>
      </w:r>
      <w:r w:rsidR="00FD0357">
        <w:t xml:space="preserve"> reveal </w:t>
      </w:r>
      <w:r w:rsidR="0068736A">
        <w:t>that our proposed multivariate model outperforms the independent model on all the likelihood-based tests, as well as has a better average probability of correct prediction.</w:t>
      </w:r>
      <w:r w:rsidR="0068736A">
        <w:rPr>
          <w:rStyle w:val="FootnoteReference"/>
        </w:rPr>
        <w:footnoteReference w:id="7"/>
      </w:r>
      <w:r w:rsidR="0068736A">
        <w:t xml:space="preserve"> </w:t>
      </w:r>
      <w:r w:rsidR="005C1D19" w:rsidRPr="00262A27">
        <w:t>Notably, the likelihood ratio test rejects the independent model at literally the 0.000001 level;</w:t>
      </w:r>
      <w:r w:rsidR="005C1D19">
        <w:t xml:space="preserve"> that is, the probability that the superior performance of the multivariate model could have been a chance occurrence is almost zero. </w:t>
      </w:r>
    </w:p>
    <w:p w14:paraId="32DC5A9A" w14:textId="3066E04F" w:rsidR="00662E40" w:rsidRDefault="00662E40" w:rsidP="00662E40">
      <w:pPr>
        <w:jc w:val="both"/>
      </w:pPr>
    </w:p>
    <w:p w14:paraId="75B80F69" w14:textId="77777777" w:rsidR="00662E40" w:rsidRDefault="00662E40" w:rsidP="00662E40">
      <w:pPr>
        <w:jc w:val="both"/>
      </w:pPr>
    </w:p>
    <w:p w14:paraId="530BA8BB" w14:textId="77777777" w:rsidR="002C33F7" w:rsidRPr="00E56408" w:rsidRDefault="002C33F7" w:rsidP="00662E40">
      <w:pPr>
        <w:jc w:val="both"/>
        <w:rPr>
          <w:rFonts w:eastAsiaTheme="minorEastAsia"/>
          <w:b/>
          <w:bCs/>
          <w:lang w:eastAsia="ko-KR"/>
        </w:rPr>
      </w:pPr>
      <w:r w:rsidRPr="00AA7404">
        <w:rPr>
          <w:rFonts w:eastAsiaTheme="minorEastAsia"/>
          <w:b/>
          <w:bCs/>
          <w:lang w:eastAsia="ko-KR"/>
        </w:rPr>
        <w:lastRenderedPageBreak/>
        <w:t xml:space="preserve">Table </w:t>
      </w:r>
      <w:r>
        <w:rPr>
          <w:rFonts w:eastAsiaTheme="minorEastAsia" w:hint="eastAsia"/>
          <w:b/>
          <w:bCs/>
          <w:lang w:eastAsia="ko-KR"/>
        </w:rPr>
        <w:t>5</w:t>
      </w:r>
      <w:r w:rsidRPr="00AA7404">
        <w:rPr>
          <w:rFonts w:eastAsiaTheme="minorEastAsia"/>
          <w:b/>
          <w:bCs/>
          <w:lang w:eastAsia="ko-KR"/>
        </w:rPr>
        <w:t xml:space="preserve">. </w:t>
      </w:r>
      <w:r>
        <w:rPr>
          <w:rFonts w:eastAsiaTheme="minorEastAsia" w:hint="eastAsia"/>
          <w:b/>
          <w:bCs/>
          <w:lang w:eastAsia="ko-KR"/>
        </w:rPr>
        <w:t>Data Fit Measures</w:t>
      </w:r>
    </w:p>
    <w:tbl>
      <w:tblPr>
        <w:tblStyle w:val="TableGrid"/>
        <w:tblW w:w="9362" w:type="dxa"/>
        <w:tblBorders>
          <w:top w:val="single" w:sz="12" w:space="0" w:color="auto"/>
          <w:left w:val="single" w:sz="12" w:space="0" w:color="auto"/>
          <w:bottom w:val="single" w:sz="12" w:space="0" w:color="auto"/>
          <w:right w:val="single" w:sz="12" w:space="0" w:color="auto"/>
        </w:tblBorders>
        <w:tblCellMar>
          <w:left w:w="43" w:type="dxa"/>
          <w:right w:w="43" w:type="dxa"/>
        </w:tblCellMar>
        <w:tblLook w:val="04A0" w:firstRow="1" w:lastRow="0" w:firstColumn="1" w:lastColumn="0" w:noHBand="0" w:noVBand="1"/>
      </w:tblPr>
      <w:tblGrid>
        <w:gridCol w:w="3945"/>
        <w:gridCol w:w="1523"/>
        <w:gridCol w:w="1897"/>
        <w:gridCol w:w="1997"/>
      </w:tblGrid>
      <w:tr w:rsidR="002C33F7" w:rsidRPr="00662E40" w14:paraId="731475B8" w14:textId="77777777" w:rsidTr="00662E40">
        <w:tc>
          <w:tcPr>
            <w:tcW w:w="3945" w:type="dxa"/>
            <w:tcBorders>
              <w:top w:val="single" w:sz="12" w:space="0" w:color="auto"/>
              <w:bottom w:val="single" w:sz="12" w:space="0" w:color="auto"/>
              <w:right w:val="single" w:sz="12" w:space="0" w:color="auto"/>
            </w:tcBorders>
            <w:vAlign w:val="center"/>
          </w:tcPr>
          <w:p w14:paraId="0154E9A6" w14:textId="77777777" w:rsidR="002C33F7" w:rsidRPr="00662E40" w:rsidRDefault="002C33F7" w:rsidP="00662E40">
            <w:pPr>
              <w:rPr>
                <w:rFonts w:eastAsiaTheme="minorEastAsia"/>
                <w:b/>
                <w:bCs/>
                <w:sz w:val="23"/>
                <w:szCs w:val="23"/>
                <w:lang w:eastAsia="ko-KR"/>
              </w:rPr>
            </w:pPr>
            <w:r w:rsidRPr="00662E40">
              <w:rPr>
                <w:rFonts w:eastAsiaTheme="minorEastAsia" w:hint="eastAsia"/>
                <w:b/>
                <w:bCs/>
                <w:sz w:val="23"/>
                <w:szCs w:val="23"/>
                <w:lang w:eastAsia="ko-KR"/>
              </w:rPr>
              <w:t>Summary Statistics</w:t>
            </w:r>
          </w:p>
        </w:tc>
        <w:tc>
          <w:tcPr>
            <w:tcW w:w="1523" w:type="dxa"/>
            <w:tcBorders>
              <w:top w:val="single" w:sz="12" w:space="0" w:color="auto"/>
              <w:left w:val="single" w:sz="12" w:space="0" w:color="auto"/>
              <w:bottom w:val="single" w:sz="12" w:space="0" w:color="auto"/>
            </w:tcBorders>
            <w:vAlign w:val="center"/>
          </w:tcPr>
          <w:p w14:paraId="3194455F" w14:textId="77777777" w:rsidR="002C33F7" w:rsidRPr="00662E40" w:rsidRDefault="002C33F7" w:rsidP="00662E40">
            <w:pPr>
              <w:jc w:val="center"/>
              <w:rPr>
                <w:rFonts w:eastAsiaTheme="minorEastAsia"/>
                <w:b/>
                <w:bCs/>
                <w:sz w:val="23"/>
                <w:szCs w:val="23"/>
                <w:lang w:eastAsia="ko-KR"/>
              </w:rPr>
            </w:pPr>
            <w:r w:rsidRPr="00662E40">
              <w:rPr>
                <w:rFonts w:eastAsiaTheme="minorEastAsia" w:hint="eastAsia"/>
                <w:b/>
                <w:bCs/>
                <w:sz w:val="23"/>
                <w:szCs w:val="23"/>
                <w:lang w:eastAsia="ko-KR"/>
              </w:rPr>
              <w:t>Multivariate model</w:t>
            </w:r>
          </w:p>
        </w:tc>
        <w:tc>
          <w:tcPr>
            <w:tcW w:w="1897" w:type="dxa"/>
            <w:tcBorders>
              <w:top w:val="single" w:sz="12" w:space="0" w:color="auto"/>
              <w:bottom w:val="single" w:sz="12" w:space="0" w:color="auto"/>
            </w:tcBorders>
            <w:vAlign w:val="center"/>
          </w:tcPr>
          <w:p w14:paraId="20360C9B" w14:textId="77777777" w:rsidR="002C33F7" w:rsidRPr="00662E40" w:rsidRDefault="002C33F7" w:rsidP="00662E40">
            <w:pPr>
              <w:jc w:val="center"/>
              <w:rPr>
                <w:rFonts w:eastAsiaTheme="minorEastAsia"/>
                <w:b/>
                <w:bCs/>
                <w:sz w:val="23"/>
                <w:szCs w:val="23"/>
                <w:lang w:eastAsia="ko-KR"/>
              </w:rPr>
            </w:pPr>
            <w:r w:rsidRPr="00662E40">
              <w:rPr>
                <w:rFonts w:eastAsiaTheme="minorEastAsia" w:hint="eastAsia"/>
                <w:b/>
                <w:bCs/>
                <w:sz w:val="23"/>
                <w:szCs w:val="23"/>
                <w:lang w:eastAsia="ko-KR"/>
              </w:rPr>
              <w:t>Independent model</w:t>
            </w:r>
          </w:p>
        </w:tc>
        <w:tc>
          <w:tcPr>
            <w:tcW w:w="1997" w:type="dxa"/>
            <w:tcBorders>
              <w:top w:val="single" w:sz="12" w:space="0" w:color="auto"/>
              <w:bottom w:val="single" w:sz="12" w:space="0" w:color="auto"/>
            </w:tcBorders>
            <w:vAlign w:val="center"/>
          </w:tcPr>
          <w:p w14:paraId="548E5309" w14:textId="77777777" w:rsidR="002C33F7" w:rsidRPr="00662E40" w:rsidRDefault="002C33F7" w:rsidP="00662E40">
            <w:pPr>
              <w:jc w:val="center"/>
              <w:rPr>
                <w:rFonts w:eastAsiaTheme="minorEastAsia"/>
                <w:b/>
                <w:bCs/>
                <w:sz w:val="23"/>
                <w:szCs w:val="23"/>
                <w:lang w:eastAsia="ko-KR"/>
              </w:rPr>
            </w:pPr>
            <w:r w:rsidRPr="00662E40">
              <w:rPr>
                <w:rFonts w:eastAsiaTheme="minorEastAsia" w:hint="eastAsia"/>
                <w:b/>
                <w:bCs/>
                <w:sz w:val="23"/>
                <w:szCs w:val="23"/>
                <w:lang w:eastAsia="ko-KR"/>
              </w:rPr>
              <w:t>Constants-only model</w:t>
            </w:r>
          </w:p>
        </w:tc>
      </w:tr>
      <w:tr w:rsidR="002C33F7" w:rsidRPr="00662E40" w14:paraId="56913E28" w14:textId="77777777" w:rsidTr="00662E40">
        <w:tc>
          <w:tcPr>
            <w:tcW w:w="3945" w:type="dxa"/>
            <w:tcBorders>
              <w:top w:val="single" w:sz="12" w:space="0" w:color="auto"/>
              <w:bottom w:val="single" w:sz="4" w:space="0" w:color="auto"/>
              <w:right w:val="single" w:sz="12" w:space="0" w:color="auto"/>
            </w:tcBorders>
            <w:vAlign w:val="center"/>
          </w:tcPr>
          <w:p w14:paraId="72F4F626" w14:textId="77777777" w:rsidR="002C33F7" w:rsidRPr="00662E40" w:rsidRDefault="002C33F7" w:rsidP="00662E40">
            <w:pPr>
              <w:rPr>
                <w:rFonts w:eastAsiaTheme="minorEastAsia"/>
                <w:sz w:val="23"/>
                <w:szCs w:val="23"/>
                <w:lang w:eastAsia="ko-KR"/>
              </w:rPr>
            </w:pPr>
            <w:r w:rsidRPr="00662E40">
              <w:rPr>
                <w:rFonts w:eastAsiaTheme="minorEastAsia" w:hint="eastAsia"/>
                <w:sz w:val="23"/>
                <w:szCs w:val="23"/>
                <w:lang w:eastAsia="ko-KR"/>
              </w:rPr>
              <w:t>Log-likelihood at convergence</w:t>
            </w:r>
          </w:p>
        </w:tc>
        <w:tc>
          <w:tcPr>
            <w:tcW w:w="1523" w:type="dxa"/>
            <w:tcBorders>
              <w:top w:val="single" w:sz="12" w:space="0" w:color="auto"/>
              <w:left w:val="single" w:sz="12" w:space="0" w:color="auto"/>
            </w:tcBorders>
            <w:vAlign w:val="center"/>
          </w:tcPr>
          <w:p w14:paraId="3A93F5A2" w14:textId="77777777" w:rsidR="002C33F7" w:rsidRPr="00662E40" w:rsidRDefault="002C33F7" w:rsidP="00662E40">
            <w:pPr>
              <w:jc w:val="center"/>
              <w:rPr>
                <w:rFonts w:eastAsiaTheme="minorEastAsia"/>
                <w:sz w:val="23"/>
                <w:szCs w:val="23"/>
                <w:lang w:eastAsia="ko-KR"/>
              </w:rPr>
            </w:pPr>
            <w:r w:rsidRPr="00662E40">
              <w:rPr>
                <w:rFonts w:eastAsiaTheme="minorEastAsia" w:hint="eastAsia"/>
                <w:sz w:val="23"/>
                <w:szCs w:val="23"/>
                <w:lang w:eastAsia="ko-KR"/>
              </w:rPr>
              <w:t>-6219.08</w:t>
            </w:r>
          </w:p>
        </w:tc>
        <w:tc>
          <w:tcPr>
            <w:tcW w:w="1897" w:type="dxa"/>
            <w:tcBorders>
              <w:top w:val="single" w:sz="12" w:space="0" w:color="auto"/>
            </w:tcBorders>
            <w:vAlign w:val="center"/>
          </w:tcPr>
          <w:p w14:paraId="59431BFF" w14:textId="77777777" w:rsidR="002C33F7" w:rsidRPr="00662E40" w:rsidRDefault="002C33F7" w:rsidP="00662E40">
            <w:pPr>
              <w:jc w:val="center"/>
              <w:rPr>
                <w:rFonts w:eastAsiaTheme="minorEastAsia"/>
                <w:sz w:val="23"/>
                <w:szCs w:val="23"/>
                <w:lang w:eastAsia="ko-KR"/>
              </w:rPr>
            </w:pPr>
            <w:r w:rsidRPr="00662E40">
              <w:rPr>
                <w:rFonts w:eastAsiaTheme="minorEastAsia" w:hint="eastAsia"/>
                <w:sz w:val="23"/>
                <w:szCs w:val="23"/>
                <w:lang w:eastAsia="ko-KR"/>
              </w:rPr>
              <w:t>-6400.17</w:t>
            </w:r>
          </w:p>
        </w:tc>
        <w:tc>
          <w:tcPr>
            <w:tcW w:w="1997" w:type="dxa"/>
            <w:tcBorders>
              <w:top w:val="single" w:sz="12" w:space="0" w:color="auto"/>
            </w:tcBorders>
            <w:vAlign w:val="center"/>
          </w:tcPr>
          <w:p w14:paraId="7E95DECC" w14:textId="77777777" w:rsidR="002C33F7" w:rsidRPr="00662E40" w:rsidRDefault="002C33F7" w:rsidP="00662E40">
            <w:pPr>
              <w:jc w:val="center"/>
              <w:rPr>
                <w:rFonts w:eastAsiaTheme="minorEastAsia"/>
                <w:sz w:val="23"/>
                <w:szCs w:val="23"/>
                <w:lang w:eastAsia="ko-KR"/>
              </w:rPr>
            </w:pPr>
            <w:r w:rsidRPr="00662E40">
              <w:rPr>
                <w:rFonts w:eastAsiaTheme="minorEastAsia" w:hint="eastAsia"/>
                <w:sz w:val="23"/>
                <w:szCs w:val="23"/>
                <w:lang w:eastAsia="ko-KR"/>
              </w:rPr>
              <w:t>-6879.38</w:t>
            </w:r>
          </w:p>
        </w:tc>
      </w:tr>
      <w:tr w:rsidR="002C33F7" w:rsidRPr="00662E40" w14:paraId="53511123" w14:textId="77777777" w:rsidTr="00662E40">
        <w:tc>
          <w:tcPr>
            <w:tcW w:w="3945" w:type="dxa"/>
            <w:tcBorders>
              <w:top w:val="single" w:sz="4" w:space="0" w:color="auto"/>
              <w:bottom w:val="single" w:sz="4" w:space="0" w:color="auto"/>
              <w:right w:val="single" w:sz="12" w:space="0" w:color="auto"/>
            </w:tcBorders>
            <w:vAlign w:val="center"/>
          </w:tcPr>
          <w:p w14:paraId="1D0A5CB9" w14:textId="77777777" w:rsidR="002C33F7" w:rsidRPr="00662E40" w:rsidRDefault="002C33F7" w:rsidP="00662E40">
            <w:pPr>
              <w:rPr>
                <w:rFonts w:eastAsiaTheme="minorEastAsia"/>
                <w:sz w:val="23"/>
                <w:szCs w:val="23"/>
                <w:lang w:eastAsia="ko-KR"/>
              </w:rPr>
            </w:pPr>
            <w:r w:rsidRPr="00662E40">
              <w:rPr>
                <w:rFonts w:eastAsiaTheme="minorEastAsia" w:hint="eastAsia"/>
                <w:sz w:val="23"/>
                <w:szCs w:val="23"/>
                <w:lang w:eastAsia="ko-KR"/>
              </w:rPr>
              <w:t>Number of parameters</w:t>
            </w:r>
          </w:p>
        </w:tc>
        <w:tc>
          <w:tcPr>
            <w:tcW w:w="1523" w:type="dxa"/>
            <w:tcBorders>
              <w:left w:val="single" w:sz="12" w:space="0" w:color="auto"/>
            </w:tcBorders>
            <w:vAlign w:val="center"/>
          </w:tcPr>
          <w:p w14:paraId="3193F708" w14:textId="77777777" w:rsidR="002C33F7" w:rsidRPr="00662E40" w:rsidRDefault="002C33F7" w:rsidP="00662E40">
            <w:pPr>
              <w:jc w:val="center"/>
              <w:rPr>
                <w:rFonts w:eastAsiaTheme="minorEastAsia"/>
                <w:sz w:val="23"/>
                <w:szCs w:val="23"/>
                <w:lang w:eastAsia="ko-KR"/>
              </w:rPr>
            </w:pPr>
            <w:r w:rsidRPr="00662E40">
              <w:rPr>
                <w:rFonts w:eastAsiaTheme="minorEastAsia" w:hint="eastAsia"/>
                <w:sz w:val="23"/>
                <w:szCs w:val="23"/>
                <w:lang w:eastAsia="ko-KR"/>
              </w:rPr>
              <w:t>30</w:t>
            </w:r>
          </w:p>
        </w:tc>
        <w:tc>
          <w:tcPr>
            <w:tcW w:w="1897" w:type="dxa"/>
            <w:vAlign w:val="center"/>
          </w:tcPr>
          <w:p w14:paraId="1478AEDF" w14:textId="77777777" w:rsidR="002C33F7" w:rsidRPr="00662E40" w:rsidRDefault="002C33F7" w:rsidP="00662E40">
            <w:pPr>
              <w:jc w:val="center"/>
              <w:rPr>
                <w:rFonts w:eastAsiaTheme="minorEastAsia"/>
                <w:sz w:val="23"/>
                <w:szCs w:val="23"/>
                <w:lang w:eastAsia="ko-KR"/>
              </w:rPr>
            </w:pPr>
            <w:r w:rsidRPr="00662E40">
              <w:rPr>
                <w:rFonts w:eastAsiaTheme="minorEastAsia" w:hint="eastAsia"/>
                <w:sz w:val="23"/>
                <w:szCs w:val="23"/>
                <w:lang w:eastAsia="ko-KR"/>
              </w:rPr>
              <w:t>27</w:t>
            </w:r>
          </w:p>
        </w:tc>
        <w:tc>
          <w:tcPr>
            <w:tcW w:w="1997" w:type="dxa"/>
            <w:vAlign w:val="center"/>
          </w:tcPr>
          <w:p w14:paraId="74D966FE" w14:textId="77777777" w:rsidR="002C33F7" w:rsidRPr="00662E40" w:rsidRDefault="002C33F7" w:rsidP="00662E40">
            <w:pPr>
              <w:jc w:val="center"/>
              <w:rPr>
                <w:rFonts w:eastAsiaTheme="minorEastAsia"/>
                <w:sz w:val="23"/>
                <w:szCs w:val="23"/>
                <w:lang w:eastAsia="ko-KR"/>
              </w:rPr>
            </w:pPr>
            <w:r w:rsidRPr="00662E40">
              <w:rPr>
                <w:rFonts w:eastAsiaTheme="minorEastAsia" w:hint="eastAsia"/>
                <w:sz w:val="23"/>
                <w:szCs w:val="23"/>
                <w:lang w:eastAsia="ko-KR"/>
              </w:rPr>
              <w:t>10</w:t>
            </w:r>
          </w:p>
        </w:tc>
      </w:tr>
      <w:tr w:rsidR="002C33F7" w:rsidRPr="00662E40" w14:paraId="724915F8" w14:textId="77777777" w:rsidTr="00662E40">
        <w:tc>
          <w:tcPr>
            <w:tcW w:w="3945" w:type="dxa"/>
            <w:tcBorders>
              <w:top w:val="single" w:sz="4" w:space="0" w:color="auto"/>
              <w:bottom w:val="single" w:sz="4" w:space="0" w:color="auto"/>
              <w:right w:val="single" w:sz="12" w:space="0" w:color="auto"/>
            </w:tcBorders>
            <w:vAlign w:val="center"/>
          </w:tcPr>
          <w:p w14:paraId="680B5716" w14:textId="77777777" w:rsidR="002C33F7" w:rsidRPr="00662E40" w:rsidRDefault="002C33F7" w:rsidP="00662E40">
            <w:pPr>
              <w:rPr>
                <w:rFonts w:eastAsiaTheme="minorEastAsia"/>
                <w:sz w:val="23"/>
                <w:szCs w:val="23"/>
                <w:lang w:eastAsia="ko-KR"/>
              </w:rPr>
            </w:pPr>
            <w:r w:rsidRPr="00662E40">
              <w:rPr>
                <w:rFonts w:eastAsiaTheme="minorEastAsia" w:hint="eastAsia"/>
                <w:sz w:val="23"/>
                <w:szCs w:val="23"/>
                <w:lang w:eastAsia="ko-KR"/>
              </w:rPr>
              <w:t>Bayesian Information Criterion (BIC)</w:t>
            </w:r>
          </w:p>
        </w:tc>
        <w:tc>
          <w:tcPr>
            <w:tcW w:w="1523" w:type="dxa"/>
            <w:tcBorders>
              <w:left w:val="single" w:sz="12" w:space="0" w:color="auto"/>
            </w:tcBorders>
            <w:vAlign w:val="center"/>
          </w:tcPr>
          <w:p w14:paraId="1618CC00" w14:textId="77777777" w:rsidR="002C33F7" w:rsidRPr="00662E40" w:rsidRDefault="002C33F7" w:rsidP="00662E40">
            <w:pPr>
              <w:jc w:val="center"/>
              <w:rPr>
                <w:rFonts w:eastAsiaTheme="minorEastAsia"/>
                <w:sz w:val="23"/>
                <w:szCs w:val="23"/>
                <w:lang w:eastAsia="ko-KR"/>
              </w:rPr>
            </w:pPr>
            <w:r w:rsidRPr="00662E40">
              <w:rPr>
                <w:rFonts w:eastAsiaTheme="minorEastAsia" w:hint="eastAsia"/>
                <w:sz w:val="23"/>
                <w:szCs w:val="23"/>
                <w:lang w:eastAsia="ko-KR"/>
              </w:rPr>
              <w:t>6267.41</w:t>
            </w:r>
          </w:p>
        </w:tc>
        <w:tc>
          <w:tcPr>
            <w:tcW w:w="1897" w:type="dxa"/>
            <w:vAlign w:val="center"/>
          </w:tcPr>
          <w:p w14:paraId="5056C9C8" w14:textId="77777777" w:rsidR="002C33F7" w:rsidRPr="00662E40" w:rsidRDefault="002C33F7" w:rsidP="00662E40">
            <w:pPr>
              <w:jc w:val="center"/>
              <w:rPr>
                <w:rFonts w:eastAsiaTheme="minorEastAsia"/>
                <w:sz w:val="23"/>
                <w:szCs w:val="23"/>
                <w:lang w:eastAsia="ko-KR"/>
              </w:rPr>
            </w:pPr>
            <w:r w:rsidRPr="00662E40">
              <w:rPr>
                <w:rFonts w:eastAsiaTheme="minorEastAsia" w:hint="eastAsia"/>
                <w:sz w:val="23"/>
                <w:szCs w:val="23"/>
                <w:lang w:eastAsia="ko-KR"/>
              </w:rPr>
              <w:t>6443.67</w:t>
            </w:r>
          </w:p>
        </w:tc>
        <w:tc>
          <w:tcPr>
            <w:tcW w:w="1997" w:type="dxa"/>
            <w:vAlign w:val="center"/>
          </w:tcPr>
          <w:p w14:paraId="2C87D6D3" w14:textId="77777777" w:rsidR="002C33F7" w:rsidRPr="00662E40" w:rsidRDefault="002C33F7" w:rsidP="00662E40">
            <w:pPr>
              <w:jc w:val="center"/>
              <w:rPr>
                <w:rFonts w:eastAsiaTheme="minorEastAsia"/>
                <w:sz w:val="23"/>
                <w:szCs w:val="23"/>
                <w:lang w:eastAsia="ko-KR"/>
              </w:rPr>
            </w:pPr>
            <w:r w:rsidRPr="00662E40">
              <w:rPr>
                <w:rFonts w:eastAsiaTheme="minorEastAsia" w:hint="eastAsia"/>
                <w:sz w:val="23"/>
                <w:szCs w:val="23"/>
                <w:lang w:eastAsia="ko-KR"/>
              </w:rPr>
              <w:t>6895.49</w:t>
            </w:r>
          </w:p>
        </w:tc>
      </w:tr>
      <w:tr w:rsidR="002C33F7" w:rsidRPr="00662E40" w14:paraId="0F038C97" w14:textId="77777777" w:rsidTr="00662E40">
        <w:tc>
          <w:tcPr>
            <w:tcW w:w="3945" w:type="dxa"/>
            <w:tcBorders>
              <w:top w:val="single" w:sz="4" w:space="0" w:color="auto"/>
              <w:bottom w:val="single" w:sz="4" w:space="0" w:color="auto"/>
              <w:right w:val="single" w:sz="12" w:space="0" w:color="auto"/>
            </w:tcBorders>
            <w:vAlign w:val="center"/>
          </w:tcPr>
          <w:p w14:paraId="62DA0775" w14:textId="77777777" w:rsidR="002C33F7" w:rsidRPr="00662E40" w:rsidRDefault="002C33F7" w:rsidP="00662E40">
            <w:pPr>
              <w:rPr>
                <w:rFonts w:eastAsiaTheme="minorEastAsia"/>
                <w:sz w:val="23"/>
                <w:szCs w:val="23"/>
                <w:lang w:eastAsia="ko-KR"/>
              </w:rPr>
            </w:pPr>
            <w:r w:rsidRPr="00662E40">
              <w:rPr>
                <w:rFonts w:eastAsiaTheme="minorEastAsia" w:hint="eastAsia"/>
                <w:sz w:val="23"/>
                <w:szCs w:val="23"/>
                <w:lang w:eastAsia="ko-KR"/>
              </w:rPr>
              <w:t>Adjusted likelihood ratio index (</w:t>
            </w:r>
            <w:r w:rsidRPr="00662E40">
              <w:rPr>
                <w:position w:val="-10"/>
                <w:sz w:val="23"/>
                <w:szCs w:val="23"/>
              </w:rPr>
              <w:object w:dxaOrig="320" w:dyaOrig="360" w14:anchorId="39CEF14B">
                <v:shape id="_x0000_i1094" type="#_x0000_t75" style="width:15pt;height:17.15pt" o:ole="" o:preferrelative="f">
                  <v:imagedata r:id="rId141" o:title=""/>
                  <o:lock v:ext="edit" aspectratio="f"/>
                </v:shape>
                <o:OLEObject Type="Embed" ProgID="Equation.DSMT4" ShapeID="_x0000_i1094" DrawAspect="Content" ObjectID="_1782815679" r:id="rId147"/>
              </w:object>
            </w:r>
            <w:r w:rsidRPr="00662E40">
              <w:rPr>
                <w:rFonts w:eastAsiaTheme="minorEastAsia" w:hint="eastAsia"/>
                <w:sz w:val="23"/>
                <w:szCs w:val="23"/>
                <w:lang w:eastAsia="ko-KR"/>
              </w:rPr>
              <w:t>)</w:t>
            </w:r>
          </w:p>
        </w:tc>
        <w:tc>
          <w:tcPr>
            <w:tcW w:w="1523" w:type="dxa"/>
            <w:tcBorders>
              <w:left w:val="single" w:sz="12" w:space="0" w:color="auto"/>
            </w:tcBorders>
            <w:vAlign w:val="center"/>
          </w:tcPr>
          <w:p w14:paraId="615D0A43" w14:textId="77777777" w:rsidR="002C33F7" w:rsidRPr="00662E40" w:rsidRDefault="002C33F7" w:rsidP="00662E40">
            <w:pPr>
              <w:jc w:val="center"/>
              <w:rPr>
                <w:rFonts w:eastAsiaTheme="minorEastAsia"/>
                <w:sz w:val="23"/>
                <w:szCs w:val="23"/>
                <w:lang w:eastAsia="ko-KR"/>
              </w:rPr>
            </w:pPr>
            <w:r w:rsidRPr="00662E40">
              <w:rPr>
                <w:rFonts w:eastAsiaTheme="minorEastAsia" w:hint="eastAsia"/>
                <w:sz w:val="23"/>
                <w:szCs w:val="23"/>
                <w:lang w:eastAsia="ko-KR"/>
              </w:rPr>
              <w:t>0.093</w:t>
            </w:r>
          </w:p>
        </w:tc>
        <w:tc>
          <w:tcPr>
            <w:tcW w:w="1897" w:type="dxa"/>
            <w:vAlign w:val="center"/>
          </w:tcPr>
          <w:p w14:paraId="495FA8B8" w14:textId="77777777" w:rsidR="002C33F7" w:rsidRPr="00662E40" w:rsidRDefault="002C33F7" w:rsidP="00662E40">
            <w:pPr>
              <w:jc w:val="center"/>
              <w:rPr>
                <w:rFonts w:eastAsiaTheme="minorEastAsia"/>
                <w:sz w:val="23"/>
                <w:szCs w:val="23"/>
                <w:lang w:eastAsia="ko-KR"/>
              </w:rPr>
            </w:pPr>
            <w:r w:rsidRPr="00662E40">
              <w:rPr>
                <w:rFonts w:eastAsiaTheme="minorEastAsia" w:hint="eastAsia"/>
                <w:sz w:val="23"/>
                <w:szCs w:val="23"/>
                <w:lang w:eastAsia="ko-KR"/>
              </w:rPr>
              <w:t>0.067</w:t>
            </w:r>
          </w:p>
        </w:tc>
        <w:tc>
          <w:tcPr>
            <w:tcW w:w="1997" w:type="dxa"/>
            <w:vAlign w:val="center"/>
          </w:tcPr>
          <w:p w14:paraId="75D888C3" w14:textId="77777777" w:rsidR="002C33F7" w:rsidRPr="00662E40" w:rsidRDefault="002C33F7" w:rsidP="00662E40">
            <w:pPr>
              <w:jc w:val="center"/>
              <w:rPr>
                <w:rFonts w:eastAsiaTheme="minorEastAsia"/>
                <w:sz w:val="23"/>
                <w:szCs w:val="23"/>
                <w:lang w:eastAsia="ko-KR"/>
              </w:rPr>
            </w:pPr>
            <w:r w:rsidRPr="00662E40">
              <w:rPr>
                <w:rFonts w:eastAsiaTheme="minorEastAsia" w:hint="eastAsia"/>
                <w:sz w:val="23"/>
                <w:szCs w:val="23"/>
                <w:lang w:eastAsia="ko-KR"/>
              </w:rPr>
              <w:t>--</w:t>
            </w:r>
          </w:p>
        </w:tc>
      </w:tr>
      <w:tr w:rsidR="009611BE" w:rsidRPr="00662E40" w14:paraId="1A6C4740" w14:textId="77777777" w:rsidTr="00662E40">
        <w:tc>
          <w:tcPr>
            <w:tcW w:w="3945" w:type="dxa"/>
            <w:tcBorders>
              <w:top w:val="single" w:sz="4" w:space="0" w:color="auto"/>
              <w:bottom w:val="single" w:sz="4" w:space="0" w:color="auto"/>
              <w:right w:val="single" w:sz="12" w:space="0" w:color="auto"/>
            </w:tcBorders>
            <w:vAlign w:val="center"/>
          </w:tcPr>
          <w:p w14:paraId="24C6ED88" w14:textId="09AA7A21" w:rsidR="009611BE" w:rsidRPr="00662E40" w:rsidRDefault="009611BE" w:rsidP="00662E40">
            <w:pPr>
              <w:rPr>
                <w:rFonts w:eastAsiaTheme="minorEastAsia"/>
                <w:sz w:val="23"/>
                <w:szCs w:val="23"/>
                <w:lang w:eastAsia="ko-KR"/>
              </w:rPr>
            </w:pPr>
            <w:r w:rsidRPr="00662E40">
              <w:rPr>
                <w:rFonts w:eastAsiaTheme="minorEastAsia" w:hint="eastAsia"/>
                <w:sz w:val="23"/>
                <w:szCs w:val="23"/>
                <w:lang w:eastAsia="ko-KR"/>
              </w:rPr>
              <w:t>Likelihood ratio test versus multivariate model</w:t>
            </w:r>
          </w:p>
        </w:tc>
        <w:tc>
          <w:tcPr>
            <w:tcW w:w="1523" w:type="dxa"/>
            <w:tcBorders>
              <w:left w:val="single" w:sz="12" w:space="0" w:color="auto"/>
            </w:tcBorders>
            <w:vAlign w:val="center"/>
          </w:tcPr>
          <w:p w14:paraId="7E933034" w14:textId="57BB8B55" w:rsidR="009611BE" w:rsidRPr="00662E40" w:rsidRDefault="009611BE" w:rsidP="00662E40">
            <w:pPr>
              <w:jc w:val="center"/>
              <w:rPr>
                <w:rFonts w:eastAsiaTheme="minorEastAsia"/>
                <w:sz w:val="23"/>
                <w:szCs w:val="23"/>
                <w:lang w:eastAsia="ko-KR"/>
              </w:rPr>
            </w:pPr>
            <w:r w:rsidRPr="00662E40">
              <w:rPr>
                <w:rFonts w:eastAsiaTheme="minorEastAsia" w:hint="eastAsia"/>
                <w:sz w:val="23"/>
                <w:szCs w:val="23"/>
                <w:lang w:eastAsia="ko-KR"/>
              </w:rPr>
              <w:t>--</w:t>
            </w:r>
          </w:p>
        </w:tc>
        <w:tc>
          <w:tcPr>
            <w:tcW w:w="1897" w:type="dxa"/>
            <w:vAlign w:val="center"/>
          </w:tcPr>
          <w:p w14:paraId="39A6E07D" w14:textId="77777777" w:rsidR="009611BE" w:rsidRPr="00662E40" w:rsidRDefault="009611BE" w:rsidP="00662E40">
            <w:pPr>
              <w:jc w:val="center"/>
              <w:rPr>
                <w:rFonts w:eastAsiaTheme="minorEastAsia"/>
                <w:sz w:val="23"/>
                <w:szCs w:val="23"/>
                <w:lang w:eastAsia="ko-KR"/>
              </w:rPr>
            </w:pPr>
            <w:r w:rsidRPr="00662E40">
              <w:rPr>
                <w:rFonts w:eastAsiaTheme="minorEastAsia" w:hint="eastAsia"/>
                <w:sz w:val="23"/>
                <w:szCs w:val="23"/>
                <w:lang w:eastAsia="ko-KR"/>
              </w:rPr>
              <w:t>LR=362.18&gt;&gt;</w:t>
            </w:r>
          </w:p>
          <w:p w14:paraId="6FAD24C3" w14:textId="6A51032F" w:rsidR="009611BE" w:rsidRPr="00662E40" w:rsidRDefault="003B54F0" w:rsidP="00662E40">
            <w:pPr>
              <w:jc w:val="center"/>
              <w:rPr>
                <w:rFonts w:eastAsiaTheme="minorEastAsia"/>
                <w:sz w:val="23"/>
                <w:szCs w:val="23"/>
                <w:lang w:eastAsia="ko-KR"/>
              </w:rPr>
            </w:pPr>
            <w:r w:rsidRPr="00662E40">
              <w:rPr>
                <w:noProof/>
                <w:position w:val="-14"/>
                <w:sz w:val="23"/>
                <w:szCs w:val="23"/>
              </w:rPr>
              <w:drawing>
                <wp:inline distT="0" distB="0" distL="0" distR="0" wp14:anchorId="7A2638FE" wp14:editId="76F5F29E">
                  <wp:extent cx="726303" cy="201827"/>
                  <wp:effectExtent l="0" t="0" r="0" b="0"/>
                  <wp:docPr id="1" name="Picture 1" descr="{&quot;mathml&quot;:&quot;&lt;math style=\&quot;font-family:stix;font-size:16px;\&quot; xmlns=\&quot;http://www.w3.org/1998/Math/MathML\&quot;&gt;&lt;mstyle mathsize=\&quot;16px\&quot;&gt;&lt;msubsup&gt;&lt;mi&gt;&amp;#x3C7;&lt;/mi&gt;&lt;mfenced&gt;&lt;mrow&gt;&lt;mn&gt;3&lt;/mn&gt;&lt;mo&gt;,&lt;/mo&gt;&lt;mn&gt;0&lt;/mn&gt;&lt;mo&gt;.&lt;/mo&gt;&lt;mn&gt;000001&lt;/mn&gt;&lt;/mrow&gt;&lt;/mfenced&gt;&lt;mn&gt;2&lt;/mn&gt;&lt;/msubsup&gt;&lt;/mstyle&gt;&lt;/math&gt;&quot;,&quot;origin&quot;:&quot;MathType for Microsoft Add-in&quot;}" title="chi subscript open parentheses 3 comma 0.000001 close parentheses end subscript super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subsup&gt;&lt;mi&gt;&amp;#x3C7;&lt;/mi&gt;&lt;mfenced&gt;&lt;mrow&gt;&lt;mn&gt;3&lt;/mn&gt;&lt;mo&gt;,&lt;/mo&gt;&lt;mn&gt;0&lt;/mn&gt;&lt;mo&gt;.&lt;/mo&gt;&lt;mn&gt;000001&lt;/mn&gt;&lt;/mrow&gt;&lt;/mfenced&gt;&lt;mn&gt;2&lt;/mn&gt;&lt;/msubsup&gt;&lt;/mstyle&gt;&lt;/math&gt;&quot;,&quot;origin&quot;:&quot;MathType for Microsoft Add-in&quot;}" title="chi subscript open parentheses 3 comma 0.000001 close parentheses end subscript superscript 2"/>
                          <pic:cNvPicPr/>
                        </pic:nvPicPr>
                        <pic:blipFill>
                          <a:blip r:embed="rId148" cstate="print">
                            <a:extLst>
                              <a:ext uri="{28A0092B-C50C-407E-A947-70E740481C1C}">
                                <a14:useLocalDpi xmlns:a14="http://schemas.microsoft.com/office/drawing/2010/main" val="0"/>
                              </a:ext>
                            </a:extLst>
                          </a:blip>
                          <a:stretch>
                            <a:fillRect/>
                          </a:stretch>
                        </pic:blipFill>
                        <pic:spPr>
                          <a:xfrm>
                            <a:off x="0" y="0"/>
                            <a:ext cx="726303" cy="201827"/>
                          </a:xfrm>
                          <a:prstGeom prst="rect">
                            <a:avLst/>
                          </a:prstGeom>
                        </pic:spPr>
                      </pic:pic>
                    </a:graphicData>
                  </a:graphic>
                </wp:inline>
              </w:drawing>
            </w:r>
            <w:r w:rsidR="009660F0" w:rsidRPr="00662E40">
              <w:rPr>
                <w:rFonts w:eastAsiaTheme="minorEastAsia" w:hint="eastAsia"/>
                <w:sz w:val="23"/>
                <w:szCs w:val="23"/>
                <w:lang w:eastAsia="ko-KR"/>
              </w:rPr>
              <w:t>=</w:t>
            </w:r>
            <w:r w:rsidR="00FF01DA" w:rsidRPr="00662E40">
              <w:rPr>
                <w:rFonts w:eastAsiaTheme="minorEastAsia" w:hint="eastAsia"/>
                <w:sz w:val="23"/>
                <w:szCs w:val="23"/>
                <w:lang w:eastAsia="ko-KR"/>
              </w:rPr>
              <w:t>30.6</w:t>
            </w:r>
            <w:r w:rsidR="00262A27" w:rsidRPr="00662E40">
              <w:rPr>
                <w:rFonts w:eastAsiaTheme="minorEastAsia" w:hint="eastAsia"/>
                <w:sz w:val="23"/>
                <w:szCs w:val="23"/>
                <w:lang w:eastAsia="ko-KR"/>
              </w:rPr>
              <w:t>6</w:t>
            </w:r>
          </w:p>
        </w:tc>
        <w:tc>
          <w:tcPr>
            <w:tcW w:w="1997" w:type="dxa"/>
            <w:vAlign w:val="center"/>
          </w:tcPr>
          <w:p w14:paraId="24217CEE" w14:textId="3C0EBF8A" w:rsidR="009660F0" w:rsidRPr="00662E40" w:rsidRDefault="009660F0" w:rsidP="00662E40">
            <w:pPr>
              <w:jc w:val="center"/>
              <w:rPr>
                <w:rFonts w:eastAsiaTheme="minorEastAsia"/>
                <w:sz w:val="23"/>
                <w:szCs w:val="23"/>
                <w:lang w:eastAsia="ko-KR"/>
              </w:rPr>
            </w:pPr>
            <w:r w:rsidRPr="00662E40">
              <w:rPr>
                <w:rFonts w:eastAsiaTheme="minorEastAsia" w:hint="eastAsia"/>
                <w:sz w:val="23"/>
                <w:szCs w:val="23"/>
                <w:lang w:eastAsia="ko-KR"/>
              </w:rPr>
              <w:t>LR=1320.60&gt;&gt;</w:t>
            </w:r>
          </w:p>
          <w:p w14:paraId="60684001" w14:textId="6DE3CB82" w:rsidR="009611BE" w:rsidRPr="00662E40" w:rsidRDefault="00D2230E" w:rsidP="00662E40">
            <w:pPr>
              <w:jc w:val="center"/>
              <w:rPr>
                <w:rFonts w:eastAsiaTheme="minorEastAsia"/>
                <w:sz w:val="23"/>
                <w:szCs w:val="23"/>
                <w:lang w:eastAsia="ko-KR"/>
              </w:rPr>
            </w:pPr>
            <w:r w:rsidRPr="00662E40">
              <w:rPr>
                <w:noProof/>
                <w:position w:val="-14"/>
                <w:sz w:val="23"/>
                <w:szCs w:val="23"/>
              </w:rPr>
              <w:drawing>
                <wp:inline distT="0" distB="0" distL="0" distR="0" wp14:anchorId="4D39304D" wp14:editId="23B89B9D">
                  <wp:extent cx="778476" cy="201827"/>
                  <wp:effectExtent l="0" t="0" r="0" b="0"/>
                  <wp:docPr id="337721572" name="Picture 337721572" descr="{&quot;mathml&quot;:&quot;&lt;math style=\&quot;font-family:stix;font-size:16px;\&quot; xmlns=\&quot;http://www.w3.org/1998/Math/MathML\&quot;&gt;&lt;mstyle mathsize=\&quot;16px\&quot;&gt;&lt;msubsup&gt;&lt;mi&gt;&amp;#x3C7;&lt;/mi&gt;&lt;mfenced&gt;&lt;mrow&gt;&lt;mn&gt;20&lt;/mn&gt;&lt;mo&gt;,&lt;/mo&gt;&lt;mn&gt;0&lt;/mn&gt;&lt;mo&gt;.&lt;/mo&gt;&lt;mn&gt;000001&lt;/mn&gt;&lt;/mrow&gt;&lt;/mfenced&gt;&lt;mn&gt;2&lt;/mn&gt;&lt;/msubsup&gt;&lt;/mstyle&gt;&lt;/math&gt;&quot;,&quot;origin&quot;:&quot;MathType for Microsoft Add-in&quot;}" title="chi subscript open parentheses 20 comma 0.000001 close parentheses end subscript superscrip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mathml&quot;:&quot;&lt;math style=\&quot;font-family:stix;font-size:16px;\&quot; xmlns=\&quot;http://www.w3.org/1998/Math/MathML\&quot;&gt;&lt;mstyle mathsize=\&quot;16px\&quot;&gt;&lt;msubsup&gt;&lt;mi&gt;&amp;#x3C7;&lt;/mi&gt;&lt;mfenced&gt;&lt;mrow&gt;&lt;mn&gt;20&lt;/mn&gt;&lt;mo&gt;,&lt;/mo&gt;&lt;mn&gt;0&lt;/mn&gt;&lt;mo&gt;.&lt;/mo&gt;&lt;mn&gt;000001&lt;/mn&gt;&lt;/mrow&gt;&lt;/mfenced&gt;&lt;mn&gt;2&lt;/mn&gt;&lt;/msubsup&gt;&lt;/mstyle&gt;&lt;/math&gt;&quot;,&quot;origin&quot;:&quot;MathType for Microsoft Add-in&quot;}" title="chi subscript open parentheses 20 comma 0.000001 close parentheses end subscript superscript 2"/>
                          <pic:cNvPicPr/>
                        </pic:nvPicPr>
                        <pic:blipFill>
                          <a:blip r:embed="rId149" cstate="print">
                            <a:extLst>
                              <a:ext uri="{28A0092B-C50C-407E-A947-70E740481C1C}">
                                <a14:useLocalDpi xmlns:a14="http://schemas.microsoft.com/office/drawing/2010/main" val="0"/>
                              </a:ext>
                            </a:extLst>
                          </a:blip>
                          <a:stretch>
                            <a:fillRect/>
                          </a:stretch>
                        </pic:blipFill>
                        <pic:spPr>
                          <a:xfrm>
                            <a:off x="0" y="0"/>
                            <a:ext cx="778476" cy="201827"/>
                          </a:xfrm>
                          <a:prstGeom prst="rect">
                            <a:avLst/>
                          </a:prstGeom>
                        </pic:spPr>
                      </pic:pic>
                    </a:graphicData>
                  </a:graphic>
                </wp:inline>
              </w:drawing>
            </w:r>
            <w:r w:rsidR="00262A27" w:rsidRPr="00662E40">
              <w:rPr>
                <w:rFonts w:eastAsiaTheme="minorEastAsia" w:hint="eastAsia"/>
                <w:sz w:val="23"/>
                <w:szCs w:val="23"/>
                <w:lang w:eastAsia="ko-KR"/>
              </w:rPr>
              <w:t>=65.42</w:t>
            </w:r>
          </w:p>
        </w:tc>
      </w:tr>
      <w:tr w:rsidR="0068736A" w:rsidRPr="00662E40" w14:paraId="0A9E8156" w14:textId="77777777" w:rsidTr="00662E40">
        <w:tc>
          <w:tcPr>
            <w:tcW w:w="3945" w:type="dxa"/>
            <w:tcBorders>
              <w:top w:val="single" w:sz="4" w:space="0" w:color="auto"/>
              <w:bottom w:val="single" w:sz="12" w:space="0" w:color="auto"/>
              <w:right w:val="single" w:sz="12" w:space="0" w:color="auto"/>
            </w:tcBorders>
            <w:vAlign w:val="center"/>
          </w:tcPr>
          <w:p w14:paraId="3DED7416" w14:textId="59A6AB8D" w:rsidR="0068736A" w:rsidRPr="00662E40" w:rsidRDefault="0068736A" w:rsidP="00662E40">
            <w:pPr>
              <w:rPr>
                <w:rFonts w:eastAsiaTheme="minorEastAsia"/>
                <w:sz w:val="23"/>
                <w:szCs w:val="23"/>
                <w:lang w:eastAsia="ko-KR"/>
              </w:rPr>
            </w:pPr>
            <w:r w:rsidRPr="00662E40">
              <w:rPr>
                <w:rFonts w:eastAsiaTheme="minorEastAsia" w:hint="eastAsia"/>
                <w:sz w:val="23"/>
                <w:szCs w:val="23"/>
                <w:lang w:eastAsia="ko-KR"/>
              </w:rPr>
              <w:t>Average probability of correct prediction</w:t>
            </w:r>
          </w:p>
        </w:tc>
        <w:tc>
          <w:tcPr>
            <w:tcW w:w="1523" w:type="dxa"/>
            <w:tcBorders>
              <w:left w:val="single" w:sz="12" w:space="0" w:color="auto"/>
            </w:tcBorders>
            <w:vAlign w:val="center"/>
          </w:tcPr>
          <w:p w14:paraId="598B4E7A" w14:textId="5A7F855F" w:rsidR="0068736A" w:rsidRPr="00662E40" w:rsidRDefault="0068736A" w:rsidP="00662E40">
            <w:pPr>
              <w:jc w:val="center"/>
              <w:rPr>
                <w:rFonts w:eastAsiaTheme="minorEastAsia"/>
                <w:sz w:val="23"/>
                <w:szCs w:val="23"/>
                <w:lang w:eastAsia="ko-KR"/>
              </w:rPr>
            </w:pPr>
            <w:r w:rsidRPr="00662E40">
              <w:rPr>
                <w:rFonts w:eastAsiaTheme="minorEastAsia" w:hint="eastAsia"/>
                <w:sz w:val="23"/>
                <w:szCs w:val="23"/>
                <w:lang w:eastAsia="ko-KR"/>
              </w:rPr>
              <w:t>0.024</w:t>
            </w:r>
          </w:p>
        </w:tc>
        <w:tc>
          <w:tcPr>
            <w:tcW w:w="1897" w:type="dxa"/>
            <w:vAlign w:val="center"/>
          </w:tcPr>
          <w:p w14:paraId="504E7A08" w14:textId="2143291D" w:rsidR="0068736A" w:rsidRPr="00662E40" w:rsidRDefault="0068736A" w:rsidP="00662E40">
            <w:pPr>
              <w:jc w:val="center"/>
              <w:rPr>
                <w:rFonts w:eastAsiaTheme="minorEastAsia"/>
                <w:sz w:val="23"/>
                <w:szCs w:val="23"/>
                <w:lang w:eastAsia="ko-KR"/>
              </w:rPr>
            </w:pPr>
            <w:r w:rsidRPr="00662E40">
              <w:rPr>
                <w:rFonts w:eastAsiaTheme="minorEastAsia" w:hint="eastAsia"/>
                <w:sz w:val="23"/>
                <w:szCs w:val="23"/>
                <w:lang w:eastAsia="ko-KR"/>
              </w:rPr>
              <w:t>0.022</w:t>
            </w:r>
          </w:p>
        </w:tc>
        <w:tc>
          <w:tcPr>
            <w:tcW w:w="1997" w:type="dxa"/>
            <w:vAlign w:val="center"/>
          </w:tcPr>
          <w:p w14:paraId="6DAC6B55" w14:textId="003CD2E8" w:rsidR="0068736A" w:rsidRPr="00662E40" w:rsidRDefault="0068736A" w:rsidP="00662E40">
            <w:pPr>
              <w:jc w:val="center"/>
              <w:rPr>
                <w:rFonts w:eastAsiaTheme="minorEastAsia"/>
                <w:sz w:val="23"/>
                <w:szCs w:val="23"/>
                <w:lang w:eastAsia="ko-KR"/>
              </w:rPr>
            </w:pPr>
            <w:r w:rsidRPr="00662E40">
              <w:rPr>
                <w:rFonts w:eastAsiaTheme="minorEastAsia" w:hint="eastAsia"/>
                <w:sz w:val="23"/>
                <w:szCs w:val="23"/>
                <w:lang w:eastAsia="ko-KR"/>
              </w:rPr>
              <w:t>0.016</w:t>
            </w:r>
          </w:p>
        </w:tc>
      </w:tr>
    </w:tbl>
    <w:p w14:paraId="0687D597" w14:textId="77777777" w:rsidR="00596611" w:rsidRDefault="00596611" w:rsidP="00662E40">
      <w:pPr>
        <w:jc w:val="both"/>
      </w:pPr>
    </w:p>
    <w:p w14:paraId="2B7E9F81" w14:textId="1500D9FD" w:rsidR="00FB5103" w:rsidRPr="00662E40" w:rsidRDefault="00546D81" w:rsidP="00662E40">
      <w:pPr>
        <w:pStyle w:val="Heading1"/>
        <w:spacing w:line="240" w:lineRule="auto"/>
        <w:contextualSpacing w:val="0"/>
        <w:rPr>
          <w:caps/>
          <w:lang w:eastAsia="ko-KR"/>
        </w:rPr>
      </w:pPr>
      <w:r w:rsidRPr="00662E40">
        <w:rPr>
          <w:caps/>
          <w:lang w:eastAsia="ko-KR"/>
        </w:rPr>
        <w:t>A</w:t>
      </w:r>
      <w:r w:rsidR="00205B37" w:rsidRPr="00662E40">
        <w:rPr>
          <w:caps/>
          <w:lang w:eastAsia="ko-KR"/>
        </w:rPr>
        <w:t>verage Treatment Effect</w:t>
      </w:r>
      <w:r w:rsidRPr="00662E40">
        <w:rPr>
          <w:caps/>
          <w:lang w:eastAsia="ko-KR"/>
        </w:rPr>
        <w:t>s</w:t>
      </w:r>
      <w:r w:rsidR="00205B37" w:rsidRPr="00662E40">
        <w:rPr>
          <w:caps/>
          <w:lang w:eastAsia="ko-KR"/>
        </w:rPr>
        <w:t xml:space="preserve"> of Exogenous </w:t>
      </w:r>
      <w:r w:rsidR="00DB14C7" w:rsidRPr="00662E40">
        <w:rPr>
          <w:caps/>
          <w:lang w:eastAsia="ko-KR"/>
        </w:rPr>
        <w:t>Variables</w:t>
      </w:r>
    </w:p>
    <w:p w14:paraId="2BDA8EC9" w14:textId="01B03031" w:rsidR="007B7A98" w:rsidRPr="00A40901" w:rsidRDefault="00FB5103" w:rsidP="00662E40">
      <w:pPr>
        <w:jc w:val="both"/>
        <w:rPr>
          <w:lang w:eastAsia="ko-KR"/>
        </w:rPr>
      </w:pPr>
      <w:r>
        <w:rPr>
          <w:lang w:eastAsia="ko-KR"/>
        </w:rPr>
        <w:t>T</w:t>
      </w:r>
      <w:r w:rsidR="00A40901" w:rsidRPr="00A40901">
        <w:rPr>
          <w:lang w:eastAsia="ko-KR"/>
        </w:rPr>
        <w:t xml:space="preserve">he coefficients corresponding to the variables presented in </w:t>
      </w:r>
      <w:r w:rsidR="00A40901">
        <w:rPr>
          <w:lang w:eastAsia="ko-KR"/>
        </w:rPr>
        <w:t>Table</w:t>
      </w:r>
      <w:r w:rsidR="00A40901" w:rsidRPr="00A40901">
        <w:rPr>
          <w:lang w:eastAsia="ko-KR"/>
        </w:rPr>
        <w:t xml:space="preserve"> 4 </w:t>
      </w:r>
      <w:r>
        <w:rPr>
          <w:lang w:eastAsia="ko-KR"/>
        </w:rPr>
        <w:t xml:space="preserve">represent effects on underlying scale-less and location-less propensities for the frequency and SC dimensions, though they have a more tangible interpretation as effects on the logarithm of walking duration for the duration dimension. For the frequency and SC dimensions, therefore, </w:t>
      </w:r>
      <w:bookmarkStart w:id="41" w:name="_Hlk169957859"/>
      <w:r>
        <w:rPr>
          <w:lang w:eastAsia="ko-KR"/>
        </w:rPr>
        <w:t xml:space="preserve">the actual effects of variables </w:t>
      </w:r>
      <w:bookmarkEnd w:id="41"/>
      <w:r>
        <w:rPr>
          <w:lang w:eastAsia="ko-KR"/>
        </w:rPr>
        <w:t xml:space="preserve">on the ordinal categories </w:t>
      </w:r>
      <w:r w:rsidR="0027056D">
        <w:rPr>
          <w:lang w:eastAsia="ko-KR"/>
        </w:rPr>
        <w:t xml:space="preserve">are </w:t>
      </w:r>
      <w:r>
        <w:rPr>
          <w:lang w:eastAsia="ko-KR"/>
        </w:rPr>
        <w:t>not obvious from the estimates. Besides, there are endogenous outcome effects, which implies that the total effect of a</w:t>
      </w:r>
      <w:r w:rsidR="001F57F8">
        <w:rPr>
          <w:lang w:eastAsia="ko-KR"/>
        </w:rPr>
        <w:t>n</w:t>
      </w:r>
      <w:r>
        <w:rPr>
          <w:lang w:eastAsia="ko-KR"/>
        </w:rPr>
        <w:t xml:space="preserve"> exogenous variable </w:t>
      </w:r>
      <w:r w:rsidR="00561D98">
        <w:rPr>
          <w:lang w:eastAsia="ko-KR"/>
        </w:rPr>
        <w:t xml:space="preserve">will be a combination of the direct effect of the variable on a specific </w:t>
      </w:r>
      <w:r w:rsidR="001F57F8">
        <w:rPr>
          <w:lang w:eastAsia="ko-KR"/>
        </w:rPr>
        <w:t>outcome</w:t>
      </w:r>
      <w:r w:rsidR="00561D98">
        <w:rPr>
          <w:lang w:eastAsia="ko-KR"/>
        </w:rPr>
        <w:t xml:space="preserve"> as well as indirect effects of the variable through the endogenous effects</w:t>
      </w:r>
      <w:r w:rsidR="001F57F8">
        <w:rPr>
          <w:lang w:eastAsia="ko-KR"/>
        </w:rPr>
        <w:t xml:space="preserve"> of other outcomes</w:t>
      </w:r>
      <w:r w:rsidR="00561D98">
        <w:rPr>
          <w:lang w:eastAsia="ko-KR"/>
        </w:rPr>
        <w:t xml:space="preserve">. </w:t>
      </w:r>
      <w:r w:rsidR="00A40901" w:rsidRPr="00A40901">
        <w:t>These indirect pathways of influence, along with the correlations among the outcomes</w:t>
      </w:r>
      <w:r w:rsidR="00561D98">
        <w:t xml:space="preserve"> and the structure of the ordered-response/grouped models</w:t>
      </w:r>
      <w:r w:rsidR="00A40901" w:rsidRPr="00A40901">
        <w:t>, introduce non-linearities, making it challenging to interpret the overall magnitude and directionality of effects solely based on the coefficient</w:t>
      </w:r>
      <w:r w:rsidR="001F57F8">
        <w:t xml:space="preserve"> estimates in Table 4</w:t>
      </w:r>
      <w:r w:rsidR="00A40901" w:rsidRPr="00A40901">
        <w:t xml:space="preserve">. To fully understand the overall impacts, </w:t>
      </w:r>
      <w:bookmarkStart w:id="42" w:name="_Hlk169957940"/>
      <w:r w:rsidR="00A40901" w:rsidRPr="00A40901">
        <w:t>including both direct and indirect effects, and to compare the relative magnitudes of these different effect pathways,</w:t>
      </w:r>
      <w:bookmarkEnd w:id="42"/>
      <w:r w:rsidR="00A40901" w:rsidRPr="00A40901">
        <w:t xml:space="preserve"> </w:t>
      </w:r>
      <w:r w:rsidR="00A40901">
        <w:t>an</w:t>
      </w:r>
      <w:r w:rsidR="00A40901" w:rsidRPr="00A40901">
        <w:t xml:space="preserve"> Average Treatment Effect (ATE) analysis is </w:t>
      </w:r>
      <w:r w:rsidR="00561D98">
        <w:t>undertaken</w:t>
      </w:r>
      <w:r w:rsidR="00A40901" w:rsidRPr="00A40901">
        <w:t xml:space="preserve">. </w:t>
      </w:r>
      <w:r w:rsidR="00561D98">
        <w:rPr>
          <w:rFonts w:eastAsiaTheme="minorEastAsia"/>
          <w:lang w:eastAsia="ko-KR"/>
        </w:rPr>
        <w:t>T</w:t>
      </w:r>
      <w:r w:rsidR="00D1345E">
        <w:rPr>
          <w:rFonts w:eastAsiaTheme="minorEastAsia"/>
          <w:lang w:eastAsia="ko-KR"/>
        </w:rPr>
        <w:t>he</w:t>
      </w:r>
      <w:r w:rsidR="007F67CE" w:rsidRPr="007F67CE">
        <w:rPr>
          <w:rFonts w:eastAsiaTheme="minorEastAsia"/>
          <w:lang w:eastAsia="ko-KR"/>
        </w:rPr>
        <w:t xml:space="preserve"> ATE </w:t>
      </w:r>
      <w:r w:rsidR="007B7A98">
        <w:rPr>
          <w:rFonts w:eastAsiaTheme="minorEastAsia"/>
          <w:lang w:eastAsia="ko-KR"/>
        </w:rPr>
        <w:t xml:space="preserve">analysis </w:t>
      </w:r>
      <w:r w:rsidR="00561D98">
        <w:rPr>
          <w:rFonts w:eastAsiaTheme="minorEastAsia"/>
          <w:lang w:eastAsia="ko-KR"/>
        </w:rPr>
        <w:t xml:space="preserve">also </w:t>
      </w:r>
      <w:r w:rsidR="007F67CE" w:rsidRPr="007F67CE">
        <w:rPr>
          <w:rFonts w:eastAsiaTheme="minorEastAsia"/>
          <w:lang w:eastAsia="ko-KR"/>
        </w:rPr>
        <w:t xml:space="preserve">allows </w:t>
      </w:r>
      <w:r w:rsidR="007B7A98">
        <w:rPr>
          <w:rFonts w:eastAsiaTheme="minorEastAsia"/>
          <w:lang w:eastAsia="ko-KR"/>
        </w:rPr>
        <w:t xml:space="preserve">the </w:t>
      </w:r>
      <w:r w:rsidR="00561D98">
        <w:rPr>
          <w:rFonts w:eastAsiaTheme="minorEastAsia"/>
          <w:lang w:eastAsia="ko-KR"/>
        </w:rPr>
        <w:t xml:space="preserve">examination </w:t>
      </w:r>
      <w:r w:rsidR="007B7A98">
        <w:rPr>
          <w:rFonts w:eastAsiaTheme="minorEastAsia"/>
          <w:lang w:eastAsia="ko-KR"/>
        </w:rPr>
        <w:t>of</w:t>
      </w:r>
      <w:r w:rsidR="007F67CE" w:rsidRPr="007F67CE">
        <w:rPr>
          <w:rFonts w:eastAsiaTheme="minorEastAsia"/>
          <w:lang w:eastAsia="ko-KR"/>
        </w:rPr>
        <w:t xml:space="preserve"> "counterfactual" outcomes, which </w:t>
      </w:r>
      <w:r w:rsidR="007B7A98">
        <w:rPr>
          <w:rFonts w:eastAsiaTheme="minorEastAsia"/>
          <w:lang w:eastAsia="ko-KR"/>
        </w:rPr>
        <w:t>represent scenarios</w:t>
      </w:r>
      <w:r w:rsidR="007B7A98" w:rsidRPr="007B7A98">
        <w:t xml:space="preserve"> </w:t>
      </w:r>
      <w:r w:rsidR="007B7A98">
        <w:t xml:space="preserve">that are </w:t>
      </w:r>
      <w:r w:rsidR="007B7A98" w:rsidRPr="007B7A98">
        <w:rPr>
          <w:rFonts w:eastAsiaTheme="minorEastAsia"/>
          <w:lang w:eastAsia="ko-KR"/>
        </w:rPr>
        <w:t>not directly observed in the survey data. For instance, it can estimate the intended companionship preference for individuals who reported never walking for more than ten minutes, even though this scenario is not captured in the survey.</w:t>
      </w:r>
    </w:p>
    <w:p w14:paraId="4362B99F" w14:textId="211E59E3" w:rsidR="007B7A98" w:rsidRDefault="007B7A98" w:rsidP="00662E40">
      <w:pPr>
        <w:ind w:firstLine="720"/>
        <w:jc w:val="both"/>
      </w:pPr>
      <w:r w:rsidRPr="007B7A98">
        <w:rPr>
          <w:rFonts w:eastAsiaTheme="minorEastAsia"/>
          <w:lang w:eastAsia="ko-KR"/>
        </w:rPr>
        <w:t xml:space="preserve">The ATE computation procedure </w:t>
      </w:r>
      <w:r>
        <w:rPr>
          <w:rFonts w:eastAsiaTheme="minorEastAsia"/>
          <w:lang w:eastAsia="ko-KR"/>
        </w:rPr>
        <w:t>starts with computing</w:t>
      </w:r>
      <w:r w:rsidRPr="007B7A98">
        <w:rPr>
          <w:rFonts w:eastAsiaTheme="minorEastAsia"/>
          <w:lang w:eastAsia="ko-KR"/>
        </w:rPr>
        <w:t>, for each individual, the multivariate</w:t>
      </w:r>
      <w:r>
        <w:rPr>
          <w:rFonts w:eastAsiaTheme="minorEastAsia"/>
          <w:lang w:eastAsia="ko-KR"/>
        </w:rPr>
        <w:t xml:space="preserve"> probability </w:t>
      </w:r>
      <w:r w:rsidRPr="007B7A98">
        <w:rPr>
          <w:rFonts w:eastAsiaTheme="minorEastAsia"/>
          <w:lang w:eastAsia="ko-KR"/>
        </w:rPr>
        <w:t xml:space="preserve">predictions </w:t>
      </w:r>
      <w:r>
        <w:t>for each of the 100 multivariate combination outcomes of the walking dimensions (total possible combinations</w:t>
      </w:r>
      <w:r w:rsidRPr="00662E40">
        <w:t>=5×4×5=</w:t>
      </w:r>
      <w:r w:rsidRPr="00662E40">
        <w:softHyphen/>
      </w:r>
      <w:r w:rsidR="00662E40" w:rsidRPr="00662E40">
        <w:t xml:space="preserve"> </w:t>
      </w:r>
      <w:r w:rsidRPr="00662E40">
        <w:t>100</w:t>
      </w:r>
      <w:r w:rsidR="00DB0802">
        <w:rPr>
          <w:iCs/>
        </w:rPr>
        <w:t>, including counterfactual outcomes</w:t>
      </w:r>
      <w:r>
        <w:t xml:space="preserve">). </w:t>
      </w:r>
      <w:r w:rsidRPr="007B7A98">
        <w:t xml:space="preserve">Then, for each individual, we compute the expected </w:t>
      </w:r>
      <w:r>
        <w:t>outcome for each of the three dimensions.</w:t>
      </w:r>
      <w:r w:rsidR="005C4224">
        <w:t xml:space="preserve"> </w:t>
      </w:r>
      <w:r w:rsidRPr="007B7A98">
        <w:t>For frequency, since the proportion of each level (</w:t>
      </w:r>
      <w:r>
        <w:t>never</w:t>
      </w:r>
      <w:r w:rsidR="00DB0802">
        <w:t xml:space="preserve"> (or zero)</w:t>
      </w:r>
      <w:r>
        <w:t xml:space="preserve">, 1-2 days/week, 3-4 days/week, 5-6 days/week, and </w:t>
      </w:r>
      <w:r w:rsidRPr="007B7A98">
        <w:t xml:space="preserve">7 </w:t>
      </w:r>
      <w:r>
        <w:t>days/week</w:t>
      </w:r>
      <w:r w:rsidRPr="007B7A98">
        <w:t xml:space="preserve">) </w:t>
      </w:r>
      <w:r w:rsidR="00DB0802">
        <w:t>is</w:t>
      </w:r>
      <w:r w:rsidRPr="007B7A98">
        <w:t xml:space="preserve"> known, the expected value </w:t>
      </w:r>
      <w:r w:rsidR="00561D98">
        <w:t xml:space="preserve">is </w:t>
      </w:r>
      <w:r w:rsidRPr="007B7A98">
        <w:t>calculated by weighting the</w:t>
      </w:r>
      <w:r w:rsidR="00134666">
        <w:t xml:space="preserve"> probability of each level </w:t>
      </w:r>
      <w:r w:rsidRPr="007B7A98">
        <w:t>with the m</w:t>
      </w:r>
      <w:r w:rsidR="00134666">
        <w:t xml:space="preserve">id-point </w:t>
      </w:r>
      <w:r w:rsidRPr="007B7A98">
        <w:t>value of each level</w:t>
      </w:r>
      <w:r w:rsidR="00134666">
        <w:t xml:space="preserve"> (so, we assume 1-2 days per week represents 1.5 days a week and so on)</w:t>
      </w:r>
      <w:r w:rsidRPr="007B7A98">
        <w:t xml:space="preserve">. For duration, the expected value </w:t>
      </w:r>
      <w:r w:rsidR="00134666">
        <w:t xml:space="preserve">in walking minutes </w:t>
      </w:r>
      <w:r w:rsidR="00DB0802">
        <w:t>is</w:t>
      </w:r>
      <w:r w:rsidRPr="007B7A98">
        <w:t xml:space="preserve"> </w:t>
      </w:r>
      <w:r w:rsidR="00561D98">
        <w:t xml:space="preserve">conveniently computed as </w:t>
      </w:r>
      <w:r w:rsidR="00662E40" w:rsidRPr="009110A4">
        <w:rPr>
          <w:position w:val="-12"/>
        </w:rPr>
        <w:object w:dxaOrig="1880" w:dyaOrig="380" w14:anchorId="6455B5E1">
          <v:shape id="_x0000_i1095" type="#_x0000_t75" style="width:94.3pt;height:18.85pt" o:ole="" o:preferrelative="f">
            <v:imagedata r:id="rId150" o:title=""/>
            <o:lock v:ext="edit" aspectratio="f"/>
          </v:shape>
          <o:OLEObject Type="Embed" ProgID="Equation.DSMT4" ShapeID="_x0000_i1095" DrawAspect="Content" ObjectID="_1782815680" r:id="rId151"/>
        </w:object>
      </w:r>
      <w:r w:rsidRPr="007B7A98">
        <w:t xml:space="preserve"> For companionship, </w:t>
      </w:r>
      <w:r w:rsidR="00134666">
        <w:t xml:space="preserve">where the levels are not obvious, we collapse the SC ordered-response into a binary outcome of SC often/always (which we will view as “yes” for the SC dimension) and </w:t>
      </w:r>
      <w:r w:rsidR="005C4224">
        <w:t xml:space="preserve">SC never/rarely/sometimes (which we will view as “no” for the SC dimension). </w:t>
      </w:r>
      <w:r>
        <w:t xml:space="preserve">Lastly, the ATEs are quantified as the change in the expected walking frequency and duration, and the </w:t>
      </w:r>
      <w:r w:rsidR="005C4224">
        <w:t xml:space="preserve">share </w:t>
      </w:r>
      <w:r>
        <w:t xml:space="preserve">of </w:t>
      </w:r>
      <w:r w:rsidR="005C4224">
        <w:t xml:space="preserve">the </w:t>
      </w:r>
      <w:r>
        <w:t>“</w:t>
      </w:r>
      <w:r w:rsidR="005C4224">
        <w:t>yes</w:t>
      </w:r>
      <w:r>
        <w:t xml:space="preserve">” </w:t>
      </w:r>
      <w:r w:rsidR="005C4224">
        <w:t>category for the SC dimension</w:t>
      </w:r>
      <w:r>
        <w:t xml:space="preserve">, </w:t>
      </w:r>
      <w:r w:rsidRPr="007B7A98">
        <w:t>due to a change in the state of an antecedent variable from</w:t>
      </w:r>
      <w:r>
        <w:t xml:space="preserve"> a base level “B</w:t>
      </w:r>
      <w:r w:rsidR="00D53421">
        <w:t>L</w:t>
      </w:r>
      <w:r>
        <w:t>” to a treatment level “T</w:t>
      </w:r>
      <w:r w:rsidR="00D53421">
        <w:t>L</w:t>
      </w:r>
      <w:r>
        <w:t>”</w:t>
      </w:r>
      <w:r w:rsidRPr="007B7A98">
        <w:t>. For example, to estimate the treatment effect of age</w:t>
      </w:r>
      <w:r w:rsidR="005C4224">
        <w:t>,</w:t>
      </w:r>
      <w:r w:rsidRPr="007B7A98">
        <w:t xml:space="preserve"> </w:t>
      </w:r>
      <w:r w:rsidR="009C2E25">
        <w:t>the</w:t>
      </w:r>
      <w:r w:rsidRPr="007B7A98">
        <w:t xml:space="preserve"> </w:t>
      </w:r>
      <w:r>
        <w:t>B</w:t>
      </w:r>
      <w:r w:rsidR="00D53421">
        <w:t>L</w:t>
      </w:r>
      <w:r w:rsidRPr="007B7A98">
        <w:t xml:space="preserve"> </w:t>
      </w:r>
      <w:r w:rsidR="001F57F8">
        <w:t>w</w:t>
      </w:r>
      <w:r>
        <w:t>ould</w:t>
      </w:r>
      <w:r w:rsidRPr="007B7A98">
        <w:t xml:space="preserve"> represent individuals </w:t>
      </w:r>
      <w:r>
        <w:t>between 50 and 64 years</w:t>
      </w:r>
      <w:r w:rsidRPr="007B7A98">
        <w:t xml:space="preserve">, while </w:t>
      </w:r>
      <w:r w:rsidR="009C2E25">
        <w:t>the</w:t>
      </w:r>
      <w:r w:rsidR="009C2E25" w:rsidRPr="007B7A98">
        <w:t xml:space="preserve"> </w:t>
      </w:r>
      <w:r>
        <w:t>T</w:t>
      </w:r>
      <w:r w:rsidR="00D53421">
        <w:t>L</w:t>
      </w:r>
      <w:r w:rsidRPr="007B7A98">
        <w:t xml:space="preserve"> </w:t>
      </w:r>
      <w:r>
        <w:t xml:space="preserve">could </w:t>
      </w:r>
      <w:r w:rsidRPr="007B7A98">
        <w:t xml:space="preserve">represent individuals aged 65 years or </w:t>
      </w:r>
      <w:r w:rsidRPr="007B7A98">
        <w:lastRenderedPageBreak/>
        <w:t xml:space="preserve">above. To compute the ATE, all individuals in the dataset are first assigned to </w:t>
      </w:r>
      <w:r w:rsidR="009C2E25">
        <w:t xml:space="preserve">the </w:t>
      </w:r>
      <w:r>
        <w:t>B</w:t>
      </w:r>
      <w:r w:rsidR="00D53421">
        <w:t>L</w:t>
      </w:r>
      <w:r w:rsidRPr="007B7A98">
        <w:t xml:space="preserve">, </w:t>
      </w:r>
      <w:r w:rsidR="005C4224">
        <w:t xml:space="preserve">individual-level </w:t>
      </w:r>
      <w:r w:rsidRPr="007B7A98">
        <w:t xml:space="preserve">expected </w:t>
      </w:r>
      <w:r>
        <w:t>outcomes for each dimension are c</w:t>
      </w:r>
      <w:r w:rsidR="005C4224">
        <w:t xml:space="preserve">omputed </w:t>
      </w:r>
      <w:r w:rsidRPr="007B7A98">
        <w:t>based on the model estimates</w:t>
      </w:r>
      <w:r w:rsidR="005C4224">
        <w:t>, and average</w:t>
      </w:r>
      <w:r w:rsidR="001F57F8">
        <w:t>d</w:t>
      </w:r>
      <w:r w:rsidR="005C4224">
        <w:t xml:space="preserve"> across all individuals in the sample to obtain (a) average walking frequency per week across all individuals, (b) average walking duration per day across all individuals, and (c) shares of individuals with “yes” on the SC dimension</w:t>
      </w:r>
      <w:r w:rsidRPr="007B7A98">
        <w:t xml:space="preserve">. Then, all individuals are assigned to </w:t>
      </w:r>
      <w:r w:rsidR="009C2E25">
        <w:t xml:space="preserve">the </w:t>
      </w:r>
      <w:r>
        <w:t>T</w:t>
      </w:r>
      <w:r w:rsidR="00D53421">
        <w:t>L</w:t>
      </w:r>
      <w:r w:rsidRPr="007B7A98">
        <w:t xml:space="preserve">, and the </w:t>
      </w:r>
      <w:r w:rsidR="005C4224">
        <w:t>same procedure is adopted</w:t>
      </w:r>
      <w:r w:rsidRPr="007B7A98">
        <w:t>. The percentage change</w:t>
      </w:r>
      <w:r w:rsidR="001F57F8">
        <w:t>s in the outcomes between levels T</w:t>
      </w:r>
      <w:r w:rsidR="00D53421">
        <w:t>L</w:t>
      </w:r>
      <w:r w:rsidR="001F57F8">
        <w:t xml:space="preserve"> and B</w:t>
      </w:r>
      <w:r w:rsidR="00D53421">
        <w:t>L</w:t>
      </w:r>
      <w:r w:rsidR="001F57F8">
        <w:t xml:space="preserve"> </w:t>
      </w:r>
      <w:r w:rsidRPr="007B7A98">
        <w:t xml:space="preserve"> provide the magnitude and direction of the impact of the age variable on </w:t>
      </w:r>
      <w:r>
        <w:t>walking frequency, duration, and companionship</w:t>
      </w:r>
      <w:r w:rsidRPr="007B7A98">
        <w:t>.</w:t>
      </w:r>
    </w:p>
    <w:p w14:paraId="5A9C9B86" w14:textId="055CFFDF" w:rsidR="00D65CAD" w:rsidRDefault="007B7A98" w:rsidP="00662E40">
      <w:pPr>
        <w:ind w:firstLine="720"/>
        <w:jc w:val="both"/>
        <w:rPr>
          <w:rFonts w:eastAsiaTheme="minorEastAsia"/>
          <w:lang w:eastAsia="ko-KR"/>
        </w:rPr>
      </w:pPr>
      <w:r>
        <w:rPr>
          <w:rFonts w:eastAsiaTheme="minorEastAsia"/>
          <w:lang w:eastAsia="ko-KR"/>
        </w:rPr>
        <w:t>Besides the total ATEs, our analysis</w:t>
      </w:r>
      <w:r w:rsidR="009E6AE5" w:rsidRPr="009E6AE5">
        <w:rPr>
          <w:rFonts w:eastAsiaTheme="minorEastAsia"/>
          <w:lang w:eastAsia="ko-KR"/>
        </w:rPr>
        <w:t xml:space="preserve"> allows us to quantify and compare the direct effect of an exogenous variable </w:t>
      </w:r>
      <w:r w:rsidR="001F57F8">
        <w:rPr>
          <w:rFonts w:eastAsiaTheme="minorEastAsia"/>
          <w:lang w:eastAsia="ko-KR"/>
        </w:rPr>
        <w:t xml:space="preserve">on an </w:t>
      </w:r>
      <w:r w:rsidR="00DC299F">
        <w:rPr>
          <w:rFonts w:eastAsiaTheme="minorEastAsia"/>
          <w:lang w:eastAsia="ko-KR"/>
        </w:rPr>
        <w:t xml:space="preserve">endogenous </w:t>
      </w:r>
      <w:r w:rsidR="001F57F8">
        <w:rPr>
          <w:rFonts w:eastAsiaTheme="minorEastAsia"/>
          <w:lang w:eastAsia="ko-KR"/>
        </w:rPr>
        <w:t xml:space="preserve">outcome </w:t>
      </w:r>
      <w:r w:rsidR="009E6AE5" w:rsidRPr="009E6AE5">
        <w:rPr>
          <w:rFonts w:eastAsiaTheme="minorEastAsia"/>
          <w:lang w:eastAsia="ko-KR"/>
        </w:rPr>
        <w:t xml:space="preserve">with </w:t>
      </w:r>
      <w:r>
        <w:rPr>
          <w:rFonts w:eastAsiaTheme="minorEastAsia"/>
          <w:lang w:eastAsia="ko-KR"/>
        </w:rPr>
        <w:t>its</w:t>
      </w:r>
      <w:r w:rsidR="009E6AE5" w:rsidRPr="009E6AE5">
        <w:rPr>
          <w:rFonts w:eastAsiaTheme="minorEastAsia"/>
          <w:lang w:eastAsia="ko-KR"/>
        </w:rPr>
        <w:t xml:space="preserve"> indirect effect </w:t>
      </w:r>
      <w:r>
        <w:rPr>
          <w:rFonts w:eastAsiaTheme="minorEastAsia"/>
          <w:lang w:eastAsia="ko-KR"/>
        </w:rPr>
        <w:t xml:space="preserve">mediated </w:t>
      </w:r>
      <w:r w:rsidR="009E6AE5" w:rsidRPr="009E6AE5">
        <w:rPr>
          <w:rFonts w:eastAsiaTheme="minorEastAsia"/>
          <w:lang w:eastAsia="ko-KR"/>
        </w:rPr>
        <w:t xml:space="preserve">through </w:t>
      </w:r>
      <w:r w:rsidR="00DC299F">
        <w:rPr>
          <w:rFonts w:eastAsiaTheme="minorEastAsia"/>
          <w:lang w:eastAsia="ko-KR"/>
        </w:rPr>
        <w:t xml:space="preserve">other </w:t>
      </w:r>
      <w:r w:rsidR="009E6AE5" w:rsidRPr="009E6AE5">
        <w:rPr>
          <w:rFonts w:eastAsiaTheme="minorEastAsia"/>
          <w:lang w:eastAsia="ko-KR"/>
        </w:rPr>
        <w:t xml:space="preserve">upstream </w:t>
      </w:r>
      <w:r>
        <w:rPr>
          <w:rFonts w:eastAsiaTheme="minorEastAsia"/>
          <w:lang w:eastAsia="ko-KR"/>
        </w:rPr>
        <w:t>endogenous variables</w:t>
      </w:r>
      <w:r w:rsidR="009E6AE5" w:rsidRPr="009E6AE5">
        <w:rPr>
          <w:rFonts w:eastAsiaTheme="minorEastAsia"/>
          <w:lang w:eastAsia="ko-KR"/>
        </w:rPr>
        <w:t xml:space="preserve">. </w:t>
      </w:r>
      <w:r w:rsidR="00FE220D" w:rsidRPr="00FE220D">
        <w:rPr>
          <w:rFonts w:eastAsiaTheme="minorEastAsia"/>
          <w:lang w:eastAsia="ko-KR"/>
        </w:rPr>
        <w:t xml:space="preserve">Distinguishing between direct and indirect effects </w:t>
      </w:r>
      <w:r w:rsidR="007D467E">
        <w:rPr>
          <w:rFonts w:eastAsiaTheme="minorEastAsia"/>
          <w:lang w:eastAsia="ko-KR"/>
        </w:rPr>
        <w:t>entails</w:t>
      </w:r>
      <w:r w:rsidR="00FE220D" w:rsidRPr="00FE220D">
        <w:rPr>
          <w:rFonts w:eastAsiaTheme="minorEastAsia"/>
          <w:lang w:eastAsia="ko-KR"/>
        </w:rPr>
        <w:t xml:space="preserve"> </w:t>
      </w:r>
      <w:r w:rsidR="007D467E">
        <w:rPr>
          <w:rFonts w:eastAsiaTheme="minorEastAsia"/>
          <w:lang w:eastAsia="ko-KR"/>
        </w:rPr>
        <w:t>tracing</w:t>
      </w:r>
      <w:r w:rsidR="00FE220D" w:rsidRPr="00FE220D">
        <w:rPr>
          <w:rFonts w:eastAsiaTheme="minorEastAsia"/>
          <w:lang w:eastAsia="ko-KR"/>
        </w:rPr>
        <w:t xml:space="preserve"> the "pathways" through which exogenous variables affect each </w:t>
      </w:r>
      <w:r>
        <w:rPr>
          <w:rFonts w:eastAsiaTheme="minorEastAsia"/>
          <w:lang w:eastAsia="ko-KR"/>
        </w:rPr>
        <w:t>dimension</w:t>
      </w:r>
      <w:r w:rsidR="00FE220D" w:rsidRPr="00FE220D">
        <w:rPr>
          <w:rFonts w:eastAsiaTheme="minorEastAsia"/>
          <w:lang w:eastAsia="ko-KR"/>
        </w:rPr>
        <w:t xml:space="preserve"> of walking behavior</w:t>
      </w:r>
      <w:r>
        <w:rPr>
          <w:rFonts w:eastAsiaTheme="minorEastAsia"/>
          <w:lang w:eastAsia="ko-KR"/>
        </w:rPr>
        <w:t>.</w:t>
      </w:r>
      <w:r w:rsidR="00F048CB">
        <w:rPr>
          <w:rFonts w:eastAsiaTheme="minorEastAsia"/>
          <w:lang w:eastAsia="ko-KR"/>
        </w:rPr>
        <w:t xml:space="preserve"> To do so, we compute </w:t>
      </w:r>
      <w:r w:rsidR="000B2C30" w:rsidRPr="000B2C30">
        <w:rPr>
          <w:rFonts w:eastAsiaTheme="minorEastAsia"/>
          <w:lang w:eastAsia="ko-KR"/>
        </w:rPr>
        <w:t>the direct effect of</w:t>
      </w:r>
      <w:r>
        <w:rPr>
          <w:rFonts w:eastAsiaTheme="minorEastAsia"/>
          <w:lang w:eastAsia="ko-KR"/>
        </w:rPr>
        <w:t xml:space="preserve"> </w:t>
      </w:r>
      <w:r w:rsidR="007D467E">
        <w:rPr>
          <w:rFonts w:eastAsiaTheme="minorEastAsia"/>
          <w:lang w:eastAsia="ko-KR"/>
        </w:rPr>
        <w:t xml:space="preserve">an exogenous </w:t>
      </w:r>
      <w:r>
        <w:rPr>
          <w:rFonts w:eastAsiaTheme="minorEastAsia"/>
          <w:lang w:eastAsia="ko-KR"/>
        </w:rPr>
        <w:t xml:space="preserve">variable </w:t>
      </w:r>
      <w:r w:rsidR="007D467E">
        <w:rPr>
          <w:rFonts w:eastAsiaTheme="minorEastAsia"/>
          <w:lang w:eastAsia="ko-KR"/>
        </w:rPr>
        <w:t xml:space="preserve">X </w:t>
      </w:r>
      <w:r w:rsidR="000B2C30" w:rsidRPr="000B2C30">
        <w:rPr>
          <w:rFonts w:eastAsiaTheme="minorEastAsia"/>
          <w:lang w:eastAsia="ko-KR"/>
        </w:rPr>
        <w:t xml:space="preserve">on a specific outcome </w:t>
      </w:r>
      <w:r w:rsidR="007D467E">
        <w:rPr>
          <w:rFonts w:eastAsiaTheme="minorEastAsia"/>
          <w:lang w:eastAsia="ko-KR"/>
        </w:rPr>
        <w:t xml:space="preserve">Y </w:t>
      </w:r>
      <w:r w:rsidR="000B2C30" w:rsidRPr="000B2C30">
        <w:rPr>
          <w:rFonts w:eastAsiaTheme="minorEastAsia"/>
          <w:lang w:eastAsia="ko-KR"/>
        </w:rPr>
        <w:t xml:space="preserve">by </w:t>
      </w:r>
      <w:r w:rsidR="00A40901">
        <w:rPr>
          <w:rFonts w:eastAsiaTheme="minorEastAsia"/>
          <w:lang w:eastAsia="ko-KR"/>
        </w:rPr>
        <w:t>maintaining</w:t>
      </w:r>
      <w:r w:rsidR="00F84279">
        <w:rPr>
          <w:rFonts w:eastAsiaTheme="minorEastAsia" w:hint="eastAsia"/>
          <w:lang w:eastAsia="ko-KR"/>
        </w:rPr>
        <w:t xml:space="preserve"> </w:t>
      </w:r>
      <w:r w:rsidR="007D467E">
        <w:rPr>
          <w:rFonts w:eastAsiaTheme="minorEastAsia"/>
          <w:lang w:eastAsia="ko-KR"/>
        </w:rPr>
        <w:t xml:space="preserve">all values of other exogenous variables (as well as other endogenous outcomes affecting the outcome Y of interest) </w:t>
      </w:r>
      <w:r w:rsidR="000B2C30" w:rsidRPr="000B2C30">
        <w:rPr>
          <w:rFonts w:eastAsiaTheme="minorEastAsia"/>
          <w:lang w:eastAsia="ko-KR"/>
        </w:rPr>
        <w:t xml:space="preserve">as they are in the data and </w:t>
      </w:r>
      <w:r w:rsidR="00F048CB">
        <w:rPr>
          <w:rFonts w:eastAsiaTheme="minorEastAsia"/>
          <w:lang w:eastAsia="ko-KR"/>
        </w:rPr>
        <w:t xml:space="preserve">evaluating </w:t>
      </w:r>
      <w:r w:rsidR="000B2C30" w:rsidRPr="000B2C30">
        <w:rPr>
          <w:rFonts w:eastAsiaTheme="minorEastAsia"/>
          <w:lang w:eastAsia="ko-KR"/>
        </w:rPr>
        <w:t xml:space="preserve">the treatment </w:t>
      </w:r>
      <w:r w:rsidR="00F048CB">
        <w:rPr>
          <w:rFonts w:eastAsiaTheme="minorEastAsia"/>
          <w:lang w:eastAsia="ko-KR"/>
        </w:rPr>
        <w:t xml:space="preserve">effect </w:t>
      </w:r>
      <w:r w:rsidR="000B2C30" w:rsidRPr="000B2C30">
        <w:rPr>
          <w:rFonts w:eastAsiaTheme="minorEastAsia"/>
          <w:lang w:eastAsia="ko-KR"/>
        </w:rPr>
        <w:t>only</w:t>
      </w:r>
      <w:r w:rsidR="00F048CB">
        <w:rPr>
          <w:rFonts w:eastAsiaTheme="minorEastAsia"/>
          <w:lang w:eastAsia="ko-KR"/>
        </w:rPr>
        <w:t xml:space="preserve"> </w:t>
      </w:r>
      <w:r w:rsidR="000B2C30" w:rsidRPr="000B2C30">
        <w:rPr>
          <w:rFonts w:eastAsiaTheme="minorEastAsia"/>
          <w:lang w:eastAsia="ko-KR"/>
        </w:rPr>
        <w:t>on</w:t>
      </w:r>
      <w:r>
        <w:rPr>
          <w:rFonts w:eastAsiaTheme="minorEastAsia"/>
          <w:lang w:eastAsia="ko-KR"/>
        </w:rPr>
        <w:t xml:space="preserve"> </w:t>
      </w:r>
      <w:r w:rsidR="007D467E" w:rsidRPr="00A07E2D">
        <w:rPr>
          <w:rFonts w:eastAsiaTheme="minorEastAsia"/>
          <w:lang w:eastAsia="ko-KR"/>
        </w:rPr>
        <w:t>Y</w:t>
      </w:r>
      <w:r w:rsidR="000B2C30" w:rsidRPr="000B2C30">
        <w:rPr>
          <w:rFonts w:eastAsiaTheme="minorEastAsia"/>
          <w:lang w:eastAsia="ko-KR"/>
        </w:rPr>
        <w:t>.</w:t>
      </w:r>
      <w:r w:rsidR="009E4296">
        <w:rPr>
          <w:rFonts w:eastAsiaTheme="minorEastAsia" w:hint="eastAsia"/>
          <w:lang w:eastAsia="ko-KR"/>
        </w:rPr>
        <w:t xml:space="preserve"> </w:t>
      </w:r>
      <w:r w:rsidR="00C47F0D">
        <w:rPr>
          <w:rFonts w:eastAsiaTheme="minorEastAsia" w:hint="eastAsia"/>
          <w:lang w:eastAsia="ko-KR"/>
        </w:rPr>
        <w:t xml:space="preserve">By </w:t>
      </w:r>
      <w:r w:rsidR="00153043">
        <w:rPr>
          <w:rFonts w:eastAsiaTheme="minorEastAsia" w:hint="eastAsia"/>
          <w:lang w:eastAsia="ko-KR"/>
        </w:rPr>
        <w:t>subtracting</w:t>
      </w:r>
      <w:r w:rsidR="00A40901">
        <w:rPr>
          <w:rFonts w:eastAsiaTheme="minorEastAsia"/>
          <w:lang w:eastAsia="ko-KR"/>
        </w:rPr>
        <w:t xml:space="preserve"> the</w:t>
      </w:r>
      <w:r w:rsidR="00153043">
        <w:rPr>
          <w:rFonts w:eastAsiaTheme="minorEastAsia" w:hint="eastAsia"/>
          <w:lang w:eastAsia="ko-KR"/>
        </w:rPr>
        <w:t xml:space="preserve"> direct effect from</w:t>
      </w:r>
      <w:r w:rsidR="00A40901">
        <w:rPr>
          <w:rFonts w:eastAsiaTheme="minorEastAsia"/>
          <w:lang w:eastAsia="ko-KR"/>
        </w:rPr>
        <w:t xml:space="preserve"> the</w:t>
      </w:r>
      <w:r w:rsidR="00153043">
        <w:rPr>
          <w:rFonts w:eastAsiaTheme="minorEastAsia" w:hint="eastAsia"/>
          <w:lang w:eastAsia="ko-KR"/>
        </w:rPr>
        <w:t xml:space="preserve"> total ATE, we </w:t>
      </w:r>
      <w:r>
        <w:rPr>
          <w:rFonts w:eastAsiaTheme="minorEastAsia"/>
          <w:lang w:eastAsia="ko-KR"/>
        </w:rPr>
        <w:t>obtain the</w:t>
      </w:r>
      <w:r w:rsidR="00153043">
        <w:rPr>
          <w:rFonts w:eastAsiaTheme="minorEastAsia" w:hint="eastAsia"/>
          <w:lang w:eastAsia="ko-KR"/>
        </w:rPr>
        <w:t xml:space="preserve"> indirect effect</w:t>
      </w:r>
      <w:r>
        <w:rPr>
          <w:rFonts w:eastAsiaTheme="minorEastAsia"/>
          <w:lang w:eastAsia="ko-KR"/>
        </w:rPr>
        <w:t>s</w:t>
      </w:r>
      <w:r w:rsidR="00153043">
        <w:rPr>
          <w:rFonts w:eastAsiaTheme="minorEastAsia" w:hint="eastAsia"/>
          <w:lang w:eastAsia="ko-KR"/>
        </w:rPr>
        <w:t xml:space="preserve">. </w:t>
      </w:r>
      <w:r w:rsidR="007D467E">
        <w:rPr>
          <w:rFonts w:eastAsiaTheme="minorEastAsia"/>
          <w:lang w:eastAsia="ko-KR"/>
        </w:rPr>
        <w:t>A straightforward extension</w:t>
      </w:r>
      <w:r w:rsidR="00F048CB">
        <w:rPr>
          <w:rFonts w:eastAsiaTheme="minorEastAsia"/>
          <w:lang w:eastAsia="ko-KR"/>
        </w:rPr>
        <w:t xml:space="preserve"> </w:t>
      </w:r>
      <w:r w:rsidR="007D467E">
        <w:rPr>
          <w:rFonts w:eastAsiaTheme="minorEastAsia"/>
          <w:lang w:eastAsia="ko-KR"/>
        </w:rPr>
        <w:t xml:space="preserve">applies to the case of partitioning the total effects of exogenous variables on duration, accounting for indirect effects through </w:t>
      </w:r>
      <w:r w:rsidR="00DC299F">
        <w:rPr>
          <w:rFonts w:eastAsiaTheme="minorEastAsia"/>
          <w:lang w:eastAsia="ko-KR"/>
        </w:rPr>
        <w:t>multiple upstream endogenous outcomes</w:t>
      </w:r>
      <w:r w:rsidR="008E0E4A">
        <w:rPr>
          <w:rFonts w:eastAsiaTheme="minorEastAsia"/>
          <w:lang w:eastAsia="ko-KR"/>
        </w:rPr>
        <w:t xml:space="preserve">. </w:t>
      </w:r>
    </w:p>
    <w:p w14:paraId="6CABEA74" w14:textId="2D4F1FA5" w:rsidR="00A40901" w:rsidRDefault="006E548A" w:rsidP="00662E40">
      <w:pPr>
        <w:ind w:firstLine="720"/>
        <w:jc w:val="both"/>
        <w:rPr>
          <w:rFonts w:eastAsiaTheme="minorEastAsia"/>
          <w:lang w:eastAsia="ko-KR"/>
        </w:rPr>
      </w:pPr>
      <w:r w:rsidRPr="006E548A">
        <w:rPr>
          <w:rFonts w:eastAsiaTheme="minorEastAsia"/>
          <w:lang w:eastAsia="ko-KR"/>
        </w:rPr>
        <w:t>The result</w:t>
      </w:r>
      <w:r w:rsidR="00A40901">
        <w:rPr>
          <w:rFonts w:eastAsiaTheme="minorEastAsia"/>
          <w:lang w:eastAsia="ko-KR"/>
        </w:rPr>
        <w:t>s</w:t>
      </w:r>
      <w:r w:rsidRPr="006E548A">
        <w:rPr>
          <w:rFonts w:eastAsiaTheme="minorEastAsia"/>
          <w:lang w:eastAsia="ko-KR"/>
        </w:rPr>
        <w:t xml:space="preserve"> of the ATE analysis </w:t>
      </w:r>
      <w:r w:rsidR="00A40901">
        <w:rPr>
          <w:rFonts w:eastAsiaTheme="minorEastAsia"/>
          <w:lang w:eastAsia="ko-KR"/>
        </w:rPr>
        <w:t xml:space="preserve">are presented </w:t>
      </w:r>
      <w:r w:rsidRPr="006E548A">
        <w:rPr>
          <w:rFonts w:eastAsiaTheme="minorEastAsia"/>
          <w:lang w:eastAsia="ko-KR"/>
        </w:rPr>
        <w:t xml:space="preserve">in Table </w:t>
      </w:r>
      <w:r w:rsidR="00A50DC6">
        <w:rPr>
          <w:rFonts w:eastAsiaTheme="minorEastAsia" w:hint="eastAsia"/>
          <w:lang w:eastAsia="ko-KR"/>
        </w:rPr>
        <w:t>6</w:t>
      </w:r>
      <w:r w:rsidRPr="006E548A">
        <w:rPr>
          <w:rFonts w:eastAsiaTheme="minorEastAsia"/>
          <w:lang w:eastAsia="ko-KR"/>
        </w:rPr>
        <w:t xml:space="preserve">. </w:t>
      </w:r>
      <w:r w:rsidR="008E0E4A">
        <w:rPr>
          <w:rFonts w:eastAsiaTheme="minorEastAsia"/>
          <w:lang w:eastAsia="ko-KR"/>
        </w:rPr>
        <w:t xml:space="preserve">The ordering of the outcomes is slightly different from that in Table 4 because of the causal pathway effects starting from SC to frequency and duration, and from frequency to duration. </w:t>
      </w:r>
      <w:r w:rsidR="008E0E4A" w:rsidRPr="00A07E2D">
        <w:rPr>
          <w:rFonts w:eastAsiaTheme="minorEastAsia"/>
          <w:u w:val="single"/>
          <w:lang w:eastAsia="ko-KR"/>
        </w:rPr>
        <w:t>The exogenous variable effects on SC</w:t>
      </w:r>
      <w:r w:rsidR="008E0E4A">
        <w:rPr>
          <w:rFonts w:eastAsiaTheme="minorEastAsia"/>
          <w:lang w:eastAsia="ko-KR"/>
        </w:rPr>
        <w:t xml:space="preserve"> are straightforward, and represent direct effects. </w:t>
      </w:r>
      <w:r w:rsidR="001819E7">
        <w:rPr>
          <w:rFonts w:eastAsiaTheme="minorEastAsia"/>
          <w:lang w:eastAsia="ko-KR"/>
        </w:rPr>
        <w:t xml:space="preserve">There are three sub-columns under the SC main column. Thus, consider the effect of employment </w:t>
      </w:r>
      <w:r w:rsidR="00EF7E0B">
        <w:rPr>
          <w:rFonts w:eastAsiaTheme="minorEastAsia"/>
          <w:lang w:eastAsia="ko-KR"/>
        </w:rPr>
        <w:t>on SC. The entry of “</w:t>
      </w:r>
      <w:r w:rsidR="00D60C94">
        <w:rPr>
          <w:rFonts w:eastAsiaTheme="minorEastAsia" w:hint="eastAsia"/>
          <w:lang w:eastAsia="ko-KR"/>
        </w:rPr>
        <w:t xml:space="preserve">Retired or not </w:t>
      </w:r>
      <w:r w:rsidR="00EF0D75">
        <w:rPr>
          <w:rFonts w:eastAsiaTheme="minorEastAsia" w:hint="eastAsia"/>
          <w:lang w:eastAsia="ko-KR"/>
        </w:rPr>
        <w:t>employed</w:t>
      </w:r>
      <w:r w:rsidR="00EF7E0B">
        <w:rPr>
          <w:rFonts w:eastAsiaTheme="minorEastAsia"/>
          <w:lang w:eastAsia="ko-KR"/>
        </w:rPr>
        <w:t>” under the BL column indicates that, on average, the probability that an unemployed individual walks with a companion (defined for purposes of ATE computations as often or always) is</w:t>
      </w:r>
      <w:r w:rsidR="008A2DAC">
        <w:rPr>
          <w:rFonts w:eastAsiaTheme="minorEastAsia" w:hint="eastAsia"/>
          <w:lang w:eastAsia="ko-KR"/>
        </w:rPr>
        <w:t xml:space="preserve"> 0.33,</w:t>
      </w:r>
      <w:r w:rsidR="00EF7E0B">
        <w:rPr>
          <w:rFonts w:eastAsiaTheme="minorEastAsia"/>
          <w:lang w:eastAsia="ko-KR"/>
        </w:rPr>
        <w:t xml:space="preserve"> while the entry of “</w:t>
      </w:r>
      <w:r w:rsidR="00EF0D75">
        <w:rPr>
          <w:rFonts w:eastAsiaTheme="minorEastAsia" w:hint="eastAsia"/>
          <w:lang w:eastAsia="ko-KR"/>
        </w:rPr>
        <w:t>Employed</w:t>
      </w:r>
      <w:r w:rsidR="00EF7E0B">
        <w:rPr>
          <w:rFonts w:eastAsiaTheme="minorEastAsia"/>
          <w:lang w:eastAsia="ko-KR"/>
        </w:rPr>
        <w:t>” under the TL column shows that, on average, the probability that an employed individual walks with a companion is</w:t>
      </w:r>
      <w:r w:rsidR="008A2DAC">
        <w:rPr>
          <w:rFonts w:eastAsiaTheme="minorEastAsia" w:hint="eastAsia"/>
          <w:lang w:eastAsia="ko-KR"/>
        </w:rPr>
        <w:t xml:space="preserve"> 0.27</w:t>
      </w:r>
      <w:r w:rsidR="00EF7E0B">
        <w:rPr>
          <w:rFonts w:eastAsiaTheme="minorEastAsia"/>
          <w:lang w:eastAsia="ko-KR"/>
        </w:rPr>
        <w:t>. The total ATE in percentage terms</w:t>
      </w:r>
      <w:r w:rsidR="008A2DAC">
        <w:rPr>
          <w:rFonts w:eastAsiaTheme="minorEastAsia" w:hint="eastAsia"/>
          <w:lang w:eastAsia="ko-KR"/>
        </w:rPr>
        <w:t xml:space="preserve"> (-18.2%)</w:t>
      </w:r>
      <w:r w:rsidR="0034070F">
        <w:rPr>
          <w:rFonts w:eastAsiaTheme="minorEastAsia"/>
          <w:lang w:eastAsia="ko-KR"/>
        </w:rPr>
        <w:t xml:space="preserve"> </w:t>
      </w:r>
      <w:r w:rsidR="00EF7E0B">
        <w:rPr>
          <w:rFonts w:eastAsiaTheme="minorEastAsia"/>
          <w:lang w:eastAsia="ko-KR"/>
        </w:rPr>
        <w:t>is the difference between the TL and BL entries</w:t>
      </w:r>
      <w:r w:rsidR="0034070F">
        <w:rPr>
          <w:rFonts w:eastAsiaTheme="minorEastAsia"/>
          <w:lang w:eastAsia="ko-KR"/>
        </w:rPr>
        <w:t xml:space="preserve">, indicating that employed individuals are </w:t>
      </w:r>
      <w:r w:rsidR="00781853" w:rsidRPr="008A2DAC">
        <w:rPr>
          <w:rFonts w:eastAsiaTheme="minorEastAsia"/>
          <w:lang w:eastAsia="ko-KR"/>
        </w:rPr>
        <w:t>18.2</w:t>
      </w:r>
      <w:r w:rsidR="0034070F" w:rsidRPr="008A2DAC">
        <w:rPr>
          <w:rFonts w:eastAsiaTheme="minorEastAsia"/>
          <w:lang w:eastAsia="ko-KR"/>
        </w:rPr>
        <w:t>% less likely than unemployed individuals to walk with companions, or equivalently, that unemployed individuals are about 1.</w:t>
      </w:r>
      <w:r w:rsidR="008F446C" w:rsidRPr="008A2DAC">
        <w:rPr>
          <w:rFonts w:eastAsiaTheme="minorEastAsia"/>
          <w:lang w:eastAsia="ko-KR"/>
        </w:rPr>
        <w:t>2</w:t>
      </w:r>
      <w:r w:rsidR="0034070F" w:rsidRPr="008A2DAC">
        <w:rPr>
          <w:rFonts w:eastAsiaTheme="minorEastAsia"/>
          <w:lang w:eastAsia="ko-KR"/>
        </w:rPr>
        <w:t xml:space="preserve"> [100/(100-</w:t>
      </w:r>
      <w:r w:rsidR="00302F02" w:rsidRPr="008A2DAC">
        <w:rPr>
          <w:rFonts w:eastAsiaTheme="minorEastAsia"/>
          <w:lang w:eastAsia="ko-KR"/>
        </w:rPr>
        <w:t>1</w:t>
      </w:r>
      <w:r w:rsidR="00781853" w:rsidRPr="008A2DAC">
        <w:rPr>
          <w:rFonts w:eastAsiaTheme="minorEastAsia"/>
          <w:lang w:eastAsia="ko-KR"/>
        </w:rPr>
        <w:t>8.2</w:t>
      </w:r>
      <w:r w:rsidR="0034070F" w:rsidRPr="008A2DAC">
        <w:rPr>
          <w:rFonts w:eastAsiaTheme="minorEastAsia"/>
          <w:lang w:eastAsia="ko-KR"/>
        </w:rPr>
        <w:t xml:space="preserve">)] times more likely to walk with companions than </w:t>
      </w:r>
      <w:r w:rsidR="0034070F" w:rsidRPr="00F63537">
        <w:rPr>
          <w:rFonts w:eastAsiaTheme="minorEastAsia"/>
          <w:lang w:eastAsia="ko-KR"/>
        </w:rPr>
        <w:t xml:space="preserve">employed individuals. </w:t>
      </w:r>
      <w:r w:rsidR="00EF7E0B" w:rsidRPr="00F63537">
        <w:rPr>
          <w:rFonts w:eastAsiaTheme="minorEastAsia"/>
          <w:lang w:eastAsia="ko-KR"/>
        </w:rPr>
        <w:t xml:space="preserve">Next, proceeding to the </w:t>
      </w:r>
      <w:r w:rsidR="00EF7E0B" w:rsidRPr="00F63537">
        <w:rPr>
          <w:rFonts w:eastAsiaTheme="minorEastAsia"/>
          <w:u w:val="single"/>
          <w:lang w:eastAsia="ko-KR"/>
        </w:rPr>
        <w:t>exogenous variable effects on frequency</w:t>
      </w:r>
      <w:r w:rsidR="00EF7E0B" w:rsidRPr="00F63537">
        <w:rPr>
          <w:rFonts w:eastAsiaTheme="minorEastAsia"/>
          <w:lang w:eastAsia="ko-KR"/>
        </w:rPr>
        <w:t>, the first t</w:t>
      </w:r>
      <w:r w:rsidR="00E50200" w:rsidRPr="00F63537">
        <w:rPr>
          <w:rFonts w:eastAsiaTheme="minorEastAsia"/>
          <w:lang w:eastAsia="ko-KR"/>
        </w:rPr>
        <w:t>hree s</w:t>
      </w:r>
      <w:r w:rsidR="00EF7E0B" w:rsidRPr="00F63537">
        <w:rPr>
          <w:rFonts w:eastAsiaTheme="minorEastAsia"/>
          <w:lang w:eastAsia="ko-KR"/>
        </w:rPr>
        <w:t xml:space="preserve">ub-columns </w:t>
      </w:r>
      <w:r w:rsidR="00E50200" w:rsidRPr="00F63537">
        <w:rPr>
          <w:rFonts w:eastAsiaTheme="minorEastAsia"/>
          <w:lang w:eastAsia="ko-KR"/>
        </w:rPr>
        <w:t>are similar to that for SC, and represent total effects of the variable. Thus, the entry of</w:t>
      </w:r>
      <w:r w:rsidR="008A2DAC" w:rsidRPr="00F63537">
        <w:rPr>
          <w:rFonts w:eastAsiaTheme="minorEastAsia" w:hint="eastAsia"/>
          <w:lang w:eastAsia="ko-KR"/>
        </w:rPr>
        <w:t xml:space="preserve"> </w:t>
      </w:r>
      <w:r w:rsidR="00E50200" w:rsidRPr="00F63537">
        <w:rPr>
          <w:rFonts w:eastAsiaTheme="minorEastAsia"/>
          <w:lang w:eastAsia="ko-KR"/>
        </w:rPr>
        <w:t>“3.5</w:t>
      </w:r>
      <w:r w:rsidR="008F446C" w:rsidRPr="00F63537">
        <w:rPr>
          <w:rFonts w:eastAsiaTheme="minorEastAsia"/>
          <w:lang w:eastAsia="ko-KR"/>
        </w:rPr>
        <w:t>8</w:t>
      </w:r>
      <w:r w:rsidR="00E50200" w:rsidRPr="00F63537">
        <w:rPr>
          <w:rFonts w:eastAsiaTheme="minorEastAsia"/>
          <w:lang w:eastAsia="ko-KR"/>
        </w:rPr>
        <w:t>” for employment status under the “BL” column indicates that unemployed individuals walk, on average, 3.5</w:t>
      </w:r>
      <w:r w:rsidR="008F446C" w:rsidRPr="00F63537">
        <w:rPr>
          <w:rFonts w:eastAsiaTheme="minorEastAsia"/>
          <w:lang w:eastAsia="ko-KR"/>
        </w:rPr>
        <w:t>8</w:t>
      </w:r>
      <w:r w:rsidR="00E50200" w:rsidRPr="00F63537">
        <w:rPr>
          <w:rFonts w:eastAsiaTheme="minorEastAsia"/>
          <w:lang w:eastAsia="ko-KR"/>
        </w:rPr>
        <w:t xml:space="preserve"> days in a week, while employed individuals walk, on average, 3.</w:t>
      </w:r>
      <w:r w:rsidR="0034070F" w:rsidRPr="00F63537">
        <w:rPr>
          <w:rFonts w:eastAsiaTheme="minorEastAsia"/>
          <w:lang w:eastAsia="ko-KR"/>
        </w:rPr>
        <w:t>73</w:t>
      </w:r>
      <w:r w:rsidR="00E50200" w:rsidRPr="00F63537">
        <w:rPr>
          <w:rFonts w:eastAsiaTheme="minorEastAsia"/>
          <w:lang w:eastAsia="ko-KR"/>
        </w:rPr>
        <w:t xml:space="preserve"> days in the week (with a corresponding total ATE change of 4.</w:t>
      </w:r>
      <w:r w:rsidR="00102EE7" w:rsidRPr="00F63537">
        <w:rPr>
          <w:rFonts w:eastAsiaTheme="minorEastAsia"/>
          <w:lang w:eastAsia="ko-KR"/>
        </w:rPr>
        <w:t>2</w:t>
      </w:r>
      <w:r w:rsidR="00E50200" w:rsidRPr="00F63537">
        <w:rPr>
          <w:rFonts w:eastAsiaTheme="minorEastAsia"/>
          <w:lang w:eastAsia="ko-KR"/>
        </w:rPr>
        <w:t xml:space="preserve">%). The next main column labeled “% contribution by source of effect” </w:t>
      </w:r>
      <w:r w:rsidR="008E1CD1" w:rsidRPr="00F63537">
        <w:rPr>
          <w:rFonts w:eastAsiaTheme="minorEastAsia"/>
          <w:lang w:eastAsia="ko-KR"/>
        </w:rPr>
        <w:t xml:space="preserve">under </w:t>
      </w:r>
      <w:r w:rsidR="00DC299F" w:rsidRPr="00F63537">
        <w:rPr>
          <w:rFonts w:eastAsiaTheme="minorEastAsia"/>
          <w:lang w:eastAsia="ko-KR"/>
        </w:rPr>
        <w:t>“Frequency”</w:t>
      </w:r>
      <w:r w:rsidR="008E1CD1" w:rsidRPr="00F63537">
        <w:rPr>
          <w:rFonts w:eastAsiaTheme="minorEastAsia"/>
          <w:lang w:eastAsia="ko-KR"/>
        </w:rPr>
        <w:t xml:space="preserve"> splits the total employment effect into percentage effect</w:t>
      </w:r>
      <w:r w:rsidR="00DC299F" w:rsidRPr="00F63537">
        <w:rPr>
          <w:rFonts w:eastAsiaTheme="minorEastAsia"/>
          <w:lang w:eastAsia="ko-KR"/>
        </w:rPr>
        <w:t>s</w:t>
      </w:r>
      <w:r w:rsidR="008E1CD1" w:rsidRPr="00F63537">
        <w:rPr>
          <w:rFonts w:eastAsiaTheme="minorEastAsia"/>
          <w:lang w:eastAsia="ko-KR"/>
        </w:rPr>
        <w:t xml:space="preserve"> mediated through an SC effect (-3</w:t>
      </w:r>
      <w:r w:rsidR="00102EE7" w:rsidRPr="00F63537">
        <w:rPr>
          <w:rFonts w:eastAsiaTheme="minorEastAsia"/>
          <w:lang w:eastAsia="ko-KR"/>
        </w:rPr>
        <w:t>4.5</w:t>
      </w:r>
      <w:r w:rsidR="008E1CD1" w:rsidRPr="00F63537">
        <w:rPr>
          <w:rFonts w:eastAsiaTheme="minorEastAsia"/>
          <w:lang w:eastAsia="ko-KR"/>
        </w:rPr>
        <w:t>%) and a direct effect (+6</w:t>
      </w:r>
      <w:r w:rsidR="00102EE7" w:rsidRPr="00F63537">
        <w:rPr>
          <w:rFonts w:eastAsiaTheme="minorEastAsia"/>
          <w:lang w:eastAsia="ko-KR"/>
        </w:rPr>
        <w:t>5.5</w:t>
      </w:r>
      <w:r w:rsidR="008E1CD1" w:rsidRPr="00F63537">
        <w:rPr>
          <w:rFonts w:eastAsiaTheme="minorEastAsia"/>
          <w:lang w:eastAsia="ko-KR"/>
        </w:rPr>
        <w:t xml:space="preserve">%). </w:t>
      </w:r>
      <w:r w:rsidR="00A40901" w:rsidRPr="00F63537">
        <w:t>Note that the sign associated with the percentage contribution is used to illustrate whether the effect decreases the total ATE (-) or increases it (+)</w:t>
      </w:r>
      <w:r w:rsidR="008E1CD1" w:rsidRPr="00F63537">
        <w:t>, while the relative magnitude</w:t>
      </w:r>
      <w:r w:rsidR="009C2E25" w:rsidRPr="00F63537">
        <w:t>s</w:t>
      </w:r>
      <w:r w:rsidR="008E1CD1" w:rsidRPr="00F63537">
        <w:t xml:space="preserve"> of the effects are computed to total 100%</w:t>
      </w:r>
      <w:r w:rsidR="00A40901" w:rsidRPr="00F63537">
        <w:t xml:space="preserve">. </w:t>
      </w:r>
      <w:r w:rsidR="008E1CD1" w:rsidRPr="00F63537">
        <w:t xml:space="preserve">That is, as discussed in Section </w:t>
      </w:r>
      <w:r w:rsidR="00102EE7" w:rsidRPr="00F63537">
        <w:rPr>
          <w:rFonts w:eastAsiaTheme="minorEastAsia" w:hint="eastAsia"/>
          <w:lang w:eastAsia="ko-KR"/>
        </w:rPr>
        <w:t>4</w:t>
      </w:r>
      <w:r w:rsidR="00CE5CDA">
        <w:rPr>
          <w:rFonts w:eastAsiaTheme="minorEastAsia" w:hint="eastAsia"/>
          <w:lang w:eastAsia="ko-KR"/>
        </w:rPr>
        <w:t>.1</w:t>
      </w:r>
      <w:r w:rsidR="008E1CD1" w:rsidRPr="00F63537">
        <w:t>, employment reduces SC propensity, which through the positive SC effect on frequency, leads to a reduction in frequency</w:t>
      </w:r>
      <w:r w:rsidR="00DC299F" w:rsidRPr="00F63537">
        <w:t xml:space="preserve"> (as represented by the -</w:t>
      </w:r>
      <w:r w:rsidR="00817D8E" w:rsidRPr="00F63537">
        <w:rPr>
          <w:rFonts w:eastAsiaTheme="minorEastAsia"/>
          <w:lang w:eastAsia="ko-KR"/>
        </w:rPr>
        <w:t>34.5</w:t>
      </w:r>
      <w:r w:rsidR="00DC299F" w:rsidRPr="00F63537">
        <w:t>% entry). B</w:t>
      </w:r>
      <w:r w:rsidR="008E1CD1" w:rsidRPr="00F63537">
        <w:t xml:space="preserve">ut </w:t>
      </w:r>
      <w:r w:rsidR="00DC299F" w:rsidRPr="00F63537">
        <w:t xml:space="preserve">employment status </w:t>
      </w:r>
      <w:r w:rsidR="008E1CD1" w:rsidRPr="00F63537">
        <w:t xml:space="preserve">also has a direct positive weekly </w:t>
      </w:r>
      <w:r w:rsidR="00DC299F" w:rsidRPr="00F63537">
        <w:t xml:space="preserve">frequency </w:t>
      </w:r>
      <w:r w:rsidR="008E1CD1" w:rsidRPr="00F63537">
        <w:t>effect</w:t>
      </w:r>
      <w:r w:rsidR="00DC299F" w:rsidRPr="00F63537">
        <w:t xml:space="preserve"> (as reflected in the +6</w:t>
      </w:r>
      <w:r w:rsidR="00817D8E" w:rsidRPr="00F63537">
        <w:rPr>
          <w:rFonts w:eastAsiaTheme="minorEastAsia"/>
          <w:lang w:eastAsia="ko-KR"/>
        </w:rPr>
        <w:t>5</w:t>
      </w:r>
      <w:r w:rsidR="00DC299F" w:rsidRPr="00F63537">
        <w:t>.</w:t>
      </w:r>
      <w:r w:rsidR="00817D8E" w:rsidRPr="00F63537">
        <w:rPr>
          <w:rFonts w:eastAsiaTheme="minorEastAsia"/>
          <w:lang w:eastAsia="ko-KR"/>
        </w:rPr>
        <w:t>5</w:t>
      </w:r>
      <w:r w:rsidR="00DC299F" w:rsidRPr="00F63537">
        <w:t>% entry)</w:t>
      </w:r>
      <w:r w:rsidR="008E1CD1" w:rsidRPr="00F63537">
        <w:t xml:space="preserve">. Finally, for the </w:t>
      </w:r>
      <w:r w:rsidR="008E1CD1" w:rsidRPr="00F63537">
        <w:rPr>
          <w:u w:val="single"/>
        </w:rPr>
        <w:t>exogenous variable effects on duration</w:t>
      </w:r>
      <w:r w:rsidR="008E1CD1" w:rsidRPr="00F63537">
        <w:t>, the layout is similar, except that the total effect is now</w:t>
      </w:r>
      <w:r w:rsidR="008E1CD1">
        <w:t xml:space="preserve"> partitioned into </w:t>
      </w:r>
      <w:r w:rsidR="008E1CD1" w:rsidRPr="0090734B">
        <w:t xml:space="preserve">an indirect SC effect, an indirect frequency effect, and a direct effect. </w:t>
      </w:r>
      <w:r w:rsidR="0034070F" w:rsidRPr="0090734B">
        <w:t xml:space="preserve">Thus, employment has a total ATE effect </w:t>
      </w:r>
      <w:r w:rsidR="0034070F" w:rsidRPr="0090734B">
        <w:lastRenderedPageBreak/>
        <w:t>of</w:t>
      </w:r>
      <w:r w:rsidR="00481698" w:rsidRPr="0090734B">
        <w:rPr>
          <w:rFonts w:eastAsiaTheme="minorEastAsia" w:hint="eastAsia"/>
          <w:lang w:eastAsia="ko-KR"/>
        </w:rPr>
        <w:t xml:space="preserve"> -6%</w:t>
      </w:r>
      <w:r w:rsidR="007E6498" w:rsidRPr="0090734B">
        <w:t xml:space="preserve"> on walk duration per day, partitioned into a negative</w:t>
      </w:r>
      <w:r w:rsidR="0090734B" w:rsidRPr="0090734B">
        <w:rPr>
          <w:rFonts w:eastAsiaTheme="minorEastAsia" w:hint="eastAsia"/>
          <w:lang w:eastAsia="ko-KR"/>
        </w:rPr>
        <w:t xml:space="preserve"> 82.1%</w:t>
      </w:r>
      <w:r w:rsidR="007E6498" w:rsidRPr="0090734B">
        <w:t xml:space="preserve"> contribution through the SC effect and a positive </w:t>
      </w:r>
      <w:r w:rsidR="0090734B" w:rsidRPr="0090734B">
        <w:rPr>
          <w:rFonts w:eastAsiaTheme="minorEastAsia" w:hint="eastAsia"/>
          <w:lang w:eastAsia="ko-KR"/>
        </w:rPr>
        <w:t>17.9%</w:t>
      </w:r>
      <w:r w:rsidR="007E6498" w:rsidRPr="0090734B">
        <w:t xml:space="preserve"> contribution through the </w:t>
      </w:r>
      <w:r w:rsidR="008E1CD1" w:rsidRPr="0090734B">
        <w:t>frequency effect</w:t>
      </w:r>
      <w:r w:rsidR="007E6498" w:rsidRPr="0090734B">
        <w:t>.</w:t>
      </w:r>
      <w:r w:rsidR="007E6498">
        <w:t xml:space="preserve"> </w:t>
      </w:r>
    </w:p>
    <w:p w14:paraId="3C642440" w14:textId="716B5A1C" w:rsidR="00925E50" w:rsidRDefault="00955D54" w:rsidP="00662E40">
      <w:pPr>
        <w:ind w:firstLine="720"/>
        <w:jc w:val="both"/>
        <w:rPr>
          <w:rFonts w:eastAsiaTheme="minorEastAsia"/>
          <w:lang w:eastAsia="ko-KR"/>
        </w:rPr>
      </w:pPr>
      <w:r w:rsidRPr="00955D54">
        <w:rPr>
          <w:rFonts w:eastAsiaTheme="minorEastAsia"/>
          <w:lang w:eastAsia="ko-KR"/>
        </w:rPr>
        <w:t>Following the interpretive reasoning discussed above, we are able to make several observations related to the effects of the exogenous variables on walking dimensions that cannot be inferred from the estimation results</w:t>
      </w:r>
      <w:r w:rsidR="00F24EE2">
        <w:rPr>
          <w:rFonts w:eastAsiaTheme="minorEastAsia"/>
          <w:lang w:eastAsia="ko-KR"/>
        </w:rPr>
        <w:t>.</w:t>
      </w:r>
      <w:r w:rsidR="00F24EE2" w:rsidRPr="00955D54">
        <w:rPr>
          <w:rFonts w:eastAsiaTheme="minorEastAsia"/>
          <w:lang w:eastAsia="ko-KR"/>
        </w:rPr>
        <w:t xml:space="preserve"> </w:t>
      </w:r>
      <w:r w:rsidR="006B4060" w:rsidRPr="00F424E8">
        <w:rPr>
          <w:rFonts w:eastAsiaTheme="minorEastAsia"/>
          <w:u w:val="single"/>
          <w:lang w:eastAsia="ko-KR"/>
        </w:rPr>
        <w:t>First</w:t>
      </w:r>
      <w:r w:rsidR="006B4060">
        <w:rPr>
          <w:rFonts w:eastAsiaTheme="minorEastAsia" w:hint="eastAsia"/>
          <w:lang w:eastAsia="ko-KR"/>
        </w:rPr>
        <w:t>,</w:t>
      </w:r>
      <w:r w:rsidR="00480BF6">
        <w:rPr>
          <w:rFonts w:eastAsiaTheme="minorEastAsia"/>
          <w:lang w:eastAsia="ko-KR"/>
        </w:rPr>
        <w:t xml:space="preserve"> the ATE analysis </w:t>
      </w:r>
      <w:r w:rsidR="006B4060">
        <w:rPr>
          <w:rFonts w:eastAsiaTheme="minorEastAsia" w:hint="eastAsia"/>
          <w:lang w:eastAsia="ko-KR"/>
        </w:rPr>
        <w:t>allow</w:t>
      </w:r>
      <w:r w:rsidR="00480BF6">
        <w:rPr>
          <w:rFonts w:eastAsiaTheme="minorEastAsia"/>
          <w:lang w:eastAsia="ko-KR"/>
        </w:rPr>
        <w:t>s</w:t>
      </w:r>
      <w:r w:rsidR="006B4060">
        <w:rPr>
          <w:rFonts w:eastAsiaTheme="minorEastAsia" w:hint="eastAsia"/>
          <w:lang w:eastAsia="ko-KR"/>
        </w:rPr>
        <w:t xml:space="preserve"> us to compare </w:t>
      </w:r>
      <w:r w:rsidR="009C2E25">
        <w:rPr>
          <w:rFonts w:eastAsiaTheme="minorEastAsia"/>
          <w:lang w:eastAsia="ko-KR"/>
        </w:rPr>
        <w:t xml:space="preserve">the </w:t>
      </w:r>
      <w:r w:rsidR="00480BF6">
        <w:rPr>
          <w:rFonts w:eastAsiaTheme="minorEastAsia"/>
          <w:lang w:eastAsia="ko-KR"/>
        </w:rPr>
        <w:t xml:space="preserve">true and total </w:t>
      </w:r>
      <w:r w:rsidR="006B4060">
        <w:rPr>
          <w:rFonts w:eastAsiaTheme="minorEastAsia" w:hint="eastAsia"/>
          <w:lang w:eastAsia="ko-KR"/>
        </w:rPr>
        <w:t xml:space="preserve">magnitude of </w:t>
      </w:r>
      <w:r w:rsidR="006B4060">
        <w:rPr>
          <w:rFonts w:eastAsiaTheme="minorEastAsia"/>
          <w:lang w:eastAsia="ko-KR"/>
        </w:rPr>
        <w:t>influence</w:t>
      </w:r>
      <w:r w:rsidR="006B4060">
        <w:rPr>
          <w:rFonts w:eastAsiaTheme="minorEastAsia" w:hint="eastAsia"/>
          <w:lang w:eastAsia="ko-KR"/>
        </w:rPr>
        <w:t xml:space="preserve"> of </w:t>
      </w:r>
      <w:r w:rsidR="006B4060" w:rsidRPr="007A0ED9">
        <w:rPr>
          <w:rFonts w:eastAsiaTheme="minorEastAsia" w:hint="eastAsia"/>
          <w:lang w:eastAsia="ko-KR"/>
        </w:rPr>
        <w:t>exogenous variables</w:t>
      </w:r>
      <w:r w:rsidR="00456AA0" w:rsidRPr="007A0ED9">
        <w:rPr>
          <w:rFonts w:eastAsiaTheme="minorEastAsia" w:hint="eastAsia"/>
          <w:lang w:eastAsia="ko-KR"/>
        </w:rPr>
        <w:t xml:space="preserve"> </w:t>
      </w:r>
      <w:r w:rsidR="00480BF6" w:rsidRPr="007A0ED9">
        <w:rPr>
          <w:rFonts w:eastAsiaTheme="minorEastAsia"/>
          <w:lang w:eastAsia="ko-KR"/>
        </w:rPr>
        <w:t>on the three walking measures</w:t>
      </w:r>
      <w:r w:rsidR="00A40901" w:rsidRPr="007A0ED9">
        <w:rPr>
          <w:rFonts w:eastAsiaTheme="minorEastAsia"/>
          <w:lang w:eastAsia="ko-KR"/>
        </w:rPr>
        <w:t>. For example</w:t>
      </w:r>
      <w:r w:rsidR="00163DC7" w:rsidRPr="007A0ED9">
        <w:rPr>
          <w:rFonts w:eastAsiaTheme="minorEastAsia"/>
          <w:lang w:eastAsia="ko-KR"/>
        </w:rPr>
        <w:t>, contrary to what the coefficients suggest (0.143 for women versus 0.204 for children), gender has a stronger overall negative effect on walking frequency than living with children. This is because households with children tend to have a higher propensity for walking companions, which partially offsets the direct negative effect through a positive indirect</w:t>
      </w:r>
      <w:r w:rsidR="00163DC7" w:rsidRPr="007A0ED9">
        <w:t xml:space="preserve"> </w:t>
      </w:r>
      <w:r w:rsidR="00163DC7" w:rsidRPr="007A0ED9">
        <w:rPr>
          <w:rFonts w:eastAsiaTheme="minorEastAsia"/>
          <w:lang w:eastAsia="ko-KR"/>
        </w:rPr>
        <w:t>effect (+37.1%)</w:t>
      </w:r>
      <w:r w:rsidR="00163DC7" w:rsidRPr="00163DC7">
        <w:rPr>
          <w:rFonts w:eastAsiaTheme="minorEastAsia"/>
          <w:lang w:eastAsia="ko-KR"/>
        </w:rPr>
        <w:t xml:space="preserve"> mediated by companionship.</w:t>
      </w:r>
      <w:r w:rsidR="00163DC7">
        <w:rPr>
          <w:rFonts w:eastAsiaTheme="minorEastAsia"/>
          <w:lang w:eastAsia="ko-KR"/>
        </w:rPr>
        <w:t xml:space="preserve"> </w:t>
      </w:r>
      <w:r w:rsidR="00163DC7" w:rsidRPr="00163DC7">
        <w:rPr>
          <w:rFonts w:eastAsiaTheme="minorEastAsia"/>
          <w:lang w:eastAsia="ko-KR"/>
        </w:rPr>
        <w:t xml:space="preserve">Similarly, the effect of employment is weaker than high-income status due to the lower tendency of employed individuals to walk </w:t>
      </w:r>
      <w:r w:rsidR="00163DC7" w:rsidRPr="00782317">
        <w:rPr>
          <w:rFonts w:eastAsiaTheme="minorEastAsia"/>
          <w:lang w:eastAsia="ko-KR"/>
        </w:rPr>
        <w:t>with companions.</w:t>
      </w:r>
      <w:r w:rsidR="001B3982">
        <w:rPr>
          <w:rFonts w:eastAsiaTheme="minorEastAsia" w:hint="eastAsia"/>
          <w:lang w:eastAsia="ko-KR"/>
        </w:rPr>
        <w:t xml:space="preserve"> </w:t>
      </w:r>
      <w:r w:rsidR="00D51D1A" w:rsidRPr="00782317">
        <w:rPr>
          <w:rFonts w:eastAsiaTheme="minorEastAsia"/>
          <w:u w:val="single"/>
          <w:lang w:eastAsia="ko-KR"/>
        </w:rPr>
        <w:t>Second</w:t>
      </w:r>
      <w:r w:rsidR="00D51D1A" w:rsidRPr="00782317">
        <w:rPr>
          <w:rFonts w:eastAsiaTheme="minorEastAsia" w:hint="eastAsia"/>
          <w:lang w:eastAsia="ko-KR"/>
        </w:rPr>
        <w:t>,</w:t>
      </w:r>
      <w:r w:rsidR="00163DC7" w:rsidRPr="00782317">
        <w:t xml:space="preserve"> </w:t>
      </w:r>
      <w:r w:rsidR="00163DC7" w:rsidRPr="00782317">
        <w:rPr>
          <w:rFonts w:eastAsiaTheme="minorEastAsia"/>
          <w:lang w:eastAsia="ko-KR"/>
        </w:rPr>
        <w:t>the ATE analysis identifies</w:t>
      </w:r>
      <w:r w:rsidR="00163DC7" w:rsidRPr="00163DC7">
        <w:rPr>
          <w:rFonts w:eastAsiaTheme="minorEastAsia"/>
          <w:lang w:eastAsia="ko-KR"/>
        </w:rPr>
        <w:t xml:space="preserve"> the indirect effects of variables on the three outcomes, even in the absence of any direct effects.</w:t>
      </w:r>
      <w:r w:rsidR="00163DC7" w:rsidRPr="00163DC7">
        <w:t xml:space="preserve"> </w:t>
      </w:r>
      <w:r w:rsidR="00163DC7" w:rsidRPr="00163DC7">
        <w:rPr>
          <w:rFonts w:eastAsiaTheme="minorEastAsia"/>
          <w:lang w:eastAsia="ko-KR"/>
        </w:rPr>
        <w:t>For example, living alone significantly reduces walking frequency and duration (ATE of</w:t>
      </w:r>
      <w:r w:rsidR="001B3982">
        <w:rPr>
          <w:rFonts w:eastAsiaTheme="minorEastAsia" w:hint="eastAsia"/>
          <w:lang w:eastAsia="ko-KR"/>
        </w:rPr>
        <w:t xml:space="preserve"> </w:t>
      </w:r>
      <w:r w:rsidR="001B3982" w:rsidRPr="00782317">
        <w:t>-7.4% for frequency and -</w:t>
      </w:r>
      <w:r w:rsidR="001B3982" w:rsidRPr="00782317">
        <w:rPr>
          <w:rFonts w:eastAsiaTheme="minorEastAsia" w:hint="eastAsia"/>
          <w:lang w:eastAsia="ko-KR"/>
        </w:rPr>
        <w:t>15.4</w:t>
      </w:r>
      <w:r w:rsidR="001B3982" w:rsidRPr="00782317">
        <w:t>%</w:t>
      </w:r>
      <w:r w:rsidR="001B3982">
        <w:rPr>
          <w:rFonts w:eastAsiaTheme="minorEastAsia" w:hint="eastAsia"/>
          <w:lang w:eastAsia="ko-KR"/>
        </w:rPr>
        <w:t xml:space="preserve">, </w:t>
      </w:r>
      <w:r w:rsidR="00163DC7" w:rsidRPr="00163DC7">
        <w:rPr>
          <w:rFonts w:eastAsiaTheme="minorEastAsia"/>
          <w:lang w:eastAsia="ko-KR"/>
        </w:rPr>
        <w:t xml:space="preserve">respectively) due to the negative indirect effect of SC. Black individuals also walk less frequently and for shorter durations, not directly because of </w:t>
      </w:r>
      <w:r w:rsidR="00163DC7">
        <w:rPr>
          <w:rFonts w:eastAsiaTheme="minorEastAsia"/>
          <w:lang w:eastAsia="ko-KR"/>
        </w:rPr>
        <w:t>their racial and cultural background</w:t>
      </w:r>
      <w:r w:rsidR="00163DC7" w:rsidRPr="00163DC7">
        <w:rPr>
          <w:rFonts w:eastAsiaTheme="minorEastAsia"/>
          <w:lang w:eastAsia="ko-KR"/>
        </w:rPr>
        <w:t>, but indirectly through low SC.</w:t>
      </w:r>
      <w:r w:rsidR="00851C48">
        <w:rPr>
          <w:rFonts w:eastAsiaTheme="minorEastAsia"/>
          <w:lang w:eastAsia="ko-KR"/>
        </w:rPr>
        <w:t xml:space="preserve"> </w:t>
      </w:r>
      <w:r w:rsidR="0083295E" w:rsidRPr="00F424E8">
        <w:rPr>
          <w:u w:val="single"/>
        </w:rPr>
        <w:t>Third</w:t>
      </w:r>
      <w:r w:rsidR="0083295E">
        <w:t xml:space="preserve">, this approach allows for decomposing the contribution of each pathway from exogenous variables to outcome variables. </w:t>
      </w:r>
      <w:r w:rsidR="00925E50">
        <w:t>The effect of child presence on walking illustrates this</w:t>
      </w:r>
      <w:r w:rsidR="00FD0357">
        <w:t xml:space="preserve"> nuanced interplay</w:t>
      </w:r>
      <w:r w:rsidR="00925E50">
        <w:t>. It includes (1) a positive indirect effect mediated through SC</w:t>
      </w:r>
      <w:r w:rsidR="00676A92">
        <w:rPr>
          <w:rFonts w:eastAsiaTheme="minorEastAsia" w:hint="eastAsia"/>
          <w:lang w:eastAsia="ko-KR"/>
        </w:rPr>
        <w:t xml:space="preserve"> (+46.6%),</w:t>
      </w:r>
      <w:r w:rsidR="00925E50">
        <w:t xml:space="preserve"> (2) a negative indirect effect through frequency</w:t>
      </w:r>
      <w:r w:rsidR="00676A92">
        <w:rPr>
          <w:rFonts w:eastAsiaTheme="minorEastAsia" w:hint="eastAsia"/>
          <w:lang w:eastAsia="ko-KR"/>
        </w:rPr>
        <w:t xml:space="preserve"> (</w:t>
      </w:r>
      <w:r w:rsidR="00006599">
        <w:rPr>
          <w:rFonts w:eastAsiaTheme="minorEastAsia" w:hint="eastAsia"/>
          <w:lang w:eastAsia="ko-KR"/>
        </w:rPr>
        <w:t>-10.1%),</w:t>
      </w:r>
      <w:r w:rsidR="00925E50">
        <w:t xml:space="preserve"> and (3) a direct negative effect</w:t>
      </w:r>
      <w:r w:rsidR="00006599">
        <w:rPr>
          <w:rFonts w:eastAsiaTheme="minorEastAsia" w:hint="eastAsia"/>
          <w:lang w:eastAsia="ko-KR"/>
        </w:rPr>
        <w:t xml:space="preserve"> (-43.3%).</w:t>
      </w:r>
      <w:r w:rsidR="00925E50">
        <w:t xml:space="preserve"> This decomposition shows that the positive effect of having a child through higher SC </w:t>
      </w:r>
      <w:r w:rsidR="00ED3F01">
        <w:rPr>
          <w:rFonts w:eastAsiaTheme="minorEastAsia" w:hint="eastAsia"/>
          <w:lang w:eastAsia="ko-KR"/>
        </w:rPr>
        <w:t xml:space="preserve">is </w:t>
      </w:r>
      <w:r w:rsidR="00FD0357">
        <w:rPr>
          <w:rFonts w:eastAsiaTheme="minorEastAsia"/>
          <w:lang w:eastAsia="ko-KR"/>
        </w:rPr>
        <w:t xml:space="preserve">close to more than </w:t>
      </w:r>
      <w:r w:rsidR="00925E50">
        <w:t>cancel</w:t>
      </w:r>
      <w:r w:rsidR="00ED3F01">
        <w:rPr>
          <w:rFonts w:eastAsiaTheme="minorEastAsia" w:hint="eastAsia"/>
          <w:lang w:eastAsia="ko-KR"/>
        </w:rPr>
        <w:t>ed</w:t>
      </w:r>
      <w:r w:rsidR="00925E50">
        <w:t xml:space="preserve"> out </w:t>
      </w:r>
      <w:r w:rsidR="00FD0357">
        <w:rPr>
          <w:rFonts w:eastAsiaTheme="minorEastAsia"/>
          <w:lang w:eastAsia="ko-KR"/>
        </w:rPr>
        <w:t xml:space="preserve">by </w:t>
      </w:r>
      <w:r w:rsidR="00925E50">
        <w:t>the negative indirect effect through frequency</w:t>
      </w:r>
      <w:r w:rsidR="005357DD">
        <w:rPr>
          <w:rFonts w:eastAsiaTheme="minorEastAsia" w:hint="eastAsia"/>
          <w:lang w:eastAsia="ko-KR"/>
        </w:rPr>
        <w:t xml:space="preserve"> and </w:t>
      </w:r>
      <w:r w:rsidR="00925E50">
        <w:t>the direct negative effect, especially in households with three or more adults, result</w:t>
      </w:r>
      <w:r w:rsidR="00FD0357">
        <w:t>ing</w:t>
      </w:r>
      <w:r w:rsidR="00925E50">
        <w:t xml:space="preserve"> in shorter walk durations </w:t>
      </w:r>
      <w:r w:rsidR="00FD0357">
        <w:t xml:space="preserve">for these households </w:t>
      </w:r>
      <w:r w:rsidR="00925E50">
        <w:t>compared to two-adult households without child. Overall, these effects balance out, resulting in a minimal total ATE of</w:t>
      </w:r>
      <w:r w:rsidR="00006599">
        <w:rPr>
          <w:rFonts w:eastAsiaTheme="minorEastAsia" w:hint="eastAsia"/>
          <w:lang w:eastAsia="ko-KR"/>
        </w:rPr>
        <w:t xml:space="preserve"> -2.1%.</w:t>
      </w:r>
    </w:p>
    <w:p w14:paraId="7437E438" w14:textId="3AC1EB14" w:rsidR="00F45BC9" w:rsidRPr="00FE02D9" w:rsidRDefault="00480BF6" w:rsidP="00662E40">
      <w:pPr>
        <w:ind w:firstLine="720"/>
        <w:jc w:val="both"/>
        <w:rPr>
          <w:rFonts w:eastAsiaTheme="minorEastAsia"/>
          <w:lang w:eastAsia="ko-KR"/>
        </w:rPr>
        <w:sectPr w:rsidR="00F45BC9" w:rsidRPr="00FE02D9" w:rsidSect="003964C4">
          <w:footerReference w:type="default" r:id="rId152"/>
          <w:pgSz w:w="12240" w:h="15840"/>
          <w:pgMar w:top="1440" w:right="1440" w:bottom="1440" w:left="1440" w:header="720" w:footer="720" w:gutter="0"/>
          <w:pgNumType w:start="1"/>
          <w:cols w:space="720"/>
          <w:docGrid w:linePitch="360"/>
        </w:sectPr>
      </w:pPr>
      <w:r>
        <w:t xml:space="preserve">Finally, </w:t>
      </w:r>
      <w:r>
        <w:rPr>
          <w:rFonts w:eastAsiaTheme="minorEastAsia"/>
          <w:lang w:eastAsia="ko-KR"/>
        </w:rPr>
        <w:t>t</w:t>
      </w:r>
      <w:r w:rsidR="00FE4BF5">
        <w:rPr>
          <w:rFonts w:eastAsiaTheme="minorEastAsia"/>
          <w:lang w:eastAsia="ko-KR"/>
        </w:rPr>
        <w:t>oward the end of the table, we also compute the ATE effects of the endogenous outcomes, even though they are not exogenous variables. While these effects are implicit in the pathway effects for the exogenous variables,</w:t>
      </w:r>
      <w:r w:rsidR="00A26232">
        <w:rPr>
          <w:rFonts w:eastAsiaTheme="minorEastAsia"/>
          <w:lang w:eastAsia="ko-KR"/>
        </w:rPr>
        <w:t xml:space="preserve"> they</w:t>
      </w:r>
      <w:r w:rsidR="00FE4BF5">
        <w:rPr>
          <w:rFonts w:eastAsiaTheme="minorEastAsia"/>
          <w:lang w:eastAsia="ko-KR"/>
        </w:rPr>
        <w:t xml:space="preserve"> </w:t>
      </w:r>
      <w:r w:rsidR="00A26232" w:rsidRPr="00A26232">
        <w:rPr>
          <w:rFonts w:eastAsiaTheme="minorEastAsia"/>
          <w:lang w:eastAsia="ko-KR"/>
        </w:rPr>
        <w:t>provide valuable insights for policy development.</w:t>
      </w:r>
      <w:r w:rsidR="00A26232">
        <w:rPr>
          <w:rFonts w:eastAsiaTheme="minorEastAsia"/>
          <w:lang w:eastAsia="ko-KR"/>
        </w:rPr>
        <w:t xml:space="preserve"> </w:t>
      </w:r>
      <w:r w:rsidR="00FE4BF5">
        <w:rPr>
          <w:rFonts w:eastAsiaTheme="minorEastAsia"/>
          <w:lang w:eastAsia="ko-KR"/>
        </w:rPr>
        <w:t xml:space="preserve">For these </w:t>
      </w:r>
      <w:r w:rsidR="00A26232">
        <w:rPr>
          <w:rFonts w:eastAsiaTheme="minorEastAsia"/>
          <w:lang w:eastAsia="ko-KR"/>
        </w:rPr>
        <w:t>calculations</w:t>
      </w:r>
      <w:r w:rsidR="00FE4BF5">
        <w:rPr>
          <w:rFonts w:eastAsiaTheme="minorEastAsia"/>
          <w:lang w:eastAsia="ko-KR"/>
        </w:rPr>
        <w:t xml:space="preserve">, we consider a change from the </w:t>
      </w:r>
      <w:r w:rsidR="00A26232">
        <w:rPr>
          <w:rFonts w:eastAsiaTheme="minorEastAsia"/>
          <w:lang w:eastAsia="ko-KR"/>
        </w:rPr>
        <w:t>BL</w:t>
      </w:r>
      <w:r w:rsidR="00FE4BF5">
        <w:rPr>
          <w:rFonts w:eastAsiaTheme="minorEastAsia"/>
          <w:lang w:eastAsia="ko-KR"/>
        </w:rPr>
        <w:t xml:space="preserve"> of “sometimes or less” to the </w:t>
      </w:r>
      <w:r w:rsidR="00A26232">
        <w:rPr>
          <w:rFonts w:eastAsiaTheme="minorEastAsia"/>
          <w:lang w:eastAsia="ko-KR"/>
        </w:rPr>
        <w:t>TL</w:t>
      </w:r>
      <w:r w:rsidR="00FE4BF5">
        <w:rPr>
          <w:rFonts w:eastAsiaTheme="minorEastAsia"/>
          <w:lang w:eastAsia="ko-KR"/>
        </w:rPr>
        <w:t xml:space="preserve"> “often or always” for the SC outcome, and from the </w:t>
      </w:r>
      <w:r w:rsidR="00A26232">
        <w:rPr>
          <w:rFonts w:eastAsiaTheme="minorEastAsia"/>
          <w:lang w:eastAsia="ko-KR"/>
        </w:rPr>
        <w:t>BL</w:t>
      </w:r>
      <w:r w:rsidR="00FE4BF5">
        <w:rPr>
          <w:rFonts w:eastAsiaTheme="minorEastAsia"/>
          <w:lang w:eastAsia="ko-KR"/>
        </w:rPr>
        <w:t xml:space="preserve"> of “less than 3 times a week” to the </w:t>
      </w:r>
      <w:r w:rsidR="00A26232">
        <w:rPr>
          <w:rFonts w:eastAsiaTheme="minorEastAsia"/>
          <w:lang w:eastAsia="ko-KR"/>
        </w:rPr>
        <w:t>TL</w:t>
      </w:r>
      <w:r w:rsidR="00FE4BF5">
        <w:rPr>
          <w:rFonts w:eastAsiaTheme="minorEastAsia"/>
          <w:lang w:eastAsia="ko-KR"/>
        </w:rPr>
        <w:t xml:space="preserve"> of “3 </w:t>
      </w:r>
      <w:r w:rsidR="00FE4BF5" w:rsidRPr="005773CD">
        <w:rPr>
          <w:rFonts w:eastAsiaTheme="minorEastAsia"/>
          <w:lang w:eastAsia="ko-KR"/>
        </w:rPr>
        <w:t xml:space="preserve">times a week or more” for walk frequency. </w:t>
      </w:r>
      <w:r w:rsidR="00851C48" w:rsidRPr="005773CD">
        <w:rPr>
          <w:rFonts w:eastAsiaTheme="minorEastAsia"/>
          <w:lang w:eastAsia="ko-KR"/>
        </w:rPr>
        <w:t>These endogenous outcome effects reveal a substantial impact of SC on walking frequency (ATE of</w:t>
      </w:r>
      <w:r w:rsidR="00B34D1C" w:rsidRPr="005773CD">
        <w:rPr>
          <w:rFonts w:eastAsiaTheme="minorEastAsia" w:hint="eastAsia"/>
          <w:lang w:eastAsia="ko-KR"/>
        </w:rPr>
        <w:t xml:space="preserve"> 96.1%).</w:t>
      </w:r>
      <w:r w:rsidR="00851C48" w:rsidRPr="005773CD">
        <w:rPr>
          <w:rFonts w:eastAsiaTheme="minorEastAsia"/>
          <w:lang w:eastAsia="ko-KR"/>
        </w:rPr>
        <w:t xml:space="preserve"> SC also influences walk duration with an ATE</w:t>
      </w:r>
      <w:r w:rsidR="00B34D1C" w:rsidRPr="005773CD">
        <w:rPr>
          <w:rFonts w:eastAsiaTheme="minorEastAsia" w:hint="eastAsia"/>
          <w:lang w:eastAsia="ko-KR"/>
        </w:rPr>
        <w:t xml:space="preserve"> of 272.1%</w:t>
      </w:r>
      <w:r w:rsidR="00851C48" w:rsidRPr="005773CD">
        <w:rPr>
          <w:rFonts w:eastAsiaTheme="minorEastAsia"/>
          <w:lang w:eastAsia="ko-KR"/>
        </w:rPr>
        <w:t>, with 8</w:t>
      </w:r>
      <w:r w:rsidR="00B34D1C" w:rsidRPr="005773CD">
        <w:rPr>
          <w:rFonts w:eastAsiaTheme="minorEastAsia" w:hint="eastAsia"/>
          <w:lang w:eastAsia="ko-KR"/>
        </w:rPr>
        <w:t>2.9</w:t>
      </w:r>
      <w:r w:rsidR="00851C48" w:rsidRPr="005773CD">
        <w:rPr>
          <w:rFonts w:eastAsiaTheme="minorEastAsia"/>
          <w:lang w:eastAsia="ko-KR"/>
        </w:rPr>
        <w:t>% of this effect coming directly from SC and 1</w:t>
      </w:r>
      <w:r w:rsidR="00B34D1C" w:rsidRPr="005773CD">
        <w:rPr>
          <w:rFonts w:eastAsiaTheme="minorEastAsia" w:hint="eastAsia"/>
          <w:lang w:eastAsia="ko-KR"/>
        </w:rPr>
        <w:t>7.1</w:t>
      </w:r>
      <w:r w:rsidR="00851C48" w:rsidRPr="005773CD">
        <w:rPr>
          <w:rFonts w:eastAsiaTheme="minorEastAsia"/>
          <w:lang w:eastAsia="ko-KR"/>
        </w:rPr>
        <w:t>% indirectly through its effect on frequency. Additionally, frequency itself affects duration with an ATE of 45.4%.</w:t>
      </w:r>
    </w:p>
    <w:p w14:paraId="4DF35E4E" w14:textId="39EE9CA5" w:rsidR="00DB0802" w:rsidRDefault="00DB0802" w:rsidP="00DB0802">
      <w:pPr>
        <w:spacing w:line="276" w:lineRule="auto"/>
        <w:jc w:val="both"/>
        <w:rPr>
          <w:rFonts w:ascii="Times New Roman" w:eastAsiaTheme="minorEastAsia" w:hAnsi="Times New Roman"/>
          <w:b/>
          <w:bCs/>
          <w:noProof/>
          <w:szCs w:val="24"/>
          <w:lang w:eastAsia="ko-KR"/>
        </w:rPr>
      </w:pPr>
      <w:r w:rsidRPr="00FE02D9">
        <w:rPr>
          <w:rFonts w:eastAsiaTheme="minorEastAsia"/>
          <w:b/>
          <w:bCs/>
          <w:lang w:eastAsia="ko-KR"/>
        </w:rPr>
        <w:lastRenderedPageBreak/>
        <w:t>Table</w:t>
      </w:r>
      <w:r w:rsidRPr="00FE02D9">
        <w:rPr>
          <w:rFonts w:eastAsiaTheme="minorEastAsia" w:hint="eastAsia"/>
          <w:b/>
          <w:bCs/>
          <w:lang w:eastAsia="ko-KR"/>
        </w:rPr>
        <w:t xml:space="preserve"> </w:t>
      </w:r>
      <w:r w:rsidR="005E2951">
        <w:rPr>
          <w:rFonts w:eastAsiaTheme="minorEastAsia" w:hint="eastAsia"/>
          <w:b/>
          <w:bCs/>
          <w:lang w:eastAsia="ko-KR"/>
        </w:rPr>
        <w:t>6</w:t>
      </w:r>
      <w:r w:rsidRPr="00FE02D9">
        <w:rPr>
          <w:rFonts w:eastAsiaTheme="minorEastAsia" w:hint="eastAsia"/>
          <w:b/>
          <w:bCs/>
          <w:lang w:eastAsia="ko-KR"/>
        </w:rPr>
        <w:t>.</w:t>
      </w:r>
      <w:r w:rsidRPr="00FE02D9">
        <w:rPr>
          <w:rFonts w:ascii="Times New Roman" w:eastAsiaTheme="minorHAnsi" w:hAnsi="Times New Roman"/>
          <w:b/>
          <w:bCs/>
          <w:noProof/>
          <w:szCs w:val="24"/>
        </w:rPr>
        <w:t xml:space="preserve"> Average Treatment Effect</w:t>
      </w:r>
      <w:r w:rsidR="004957F8">
        <w:rPr>
          <w:rFonts w:ascii="Times New Roman" w:eastAsiaTheme="minorEastAsia" w:hAnsi="Times New Roman" w:hint="eastAsia"/>
          <w:b/>
          <w:bCs/>
          <w:noProof/>
          <w:szCs w:val="24"/>
          <w:lang w:eastAsia="ko-KR"/>
        </w:rPr>
        <w:t>s</w:t>
      </w:r>
      <w:r w:rsidRPr="00FE02D9">
        <w:rPr>
          <w:rFonts w:ascii="Times New Roman" w:eastAsiaTheme="minorHAnsi" w:hAnsi="Times New Roman"/>
          <w:b/>
          <w:bCs/>
          <w:noProof/>
          <w:szCs w:val="24"/>
        </w:rPr>
        <w:t xml:space="preserve"> (ATE</w:t>
      </w:r>
      <w:r w:rsidR="004957F8">
        <w:rPr>
          <w:rFonts w:ascii="Times New Roman" w:eastAsiaTheme="minorEastAsia" w:hAnsi="Times New Roman" w:hint="eastAsia"/>
          <w:b/>
          <w:bCs/>
          <w:noProof/>
          <w:szCs w:val="24"/>
          <w:lang w:eastAsia="ko-KR"/>
        </w:rPr>
        <w:t>s</w:t>
      </w:r>
      <w:r w:rsidRPr="00FE02D9">
        <w:rPr>
          <w:rFonts w:ascii="Times New Roman" w:eastAsiaTheme="minorHAnsi" w:hAnsi="Times New Roman"/>
          <w:b/>
          <w:bCs/>
          <w:noProof/>
          <w:szCs w:val="24"/>
        </w:rPr>
        <w:t xml:space="preserve">) </w:t>
      </w:r>
    </w:p>
    <w:tbl>
      <w:tblPr>
        <w:tblStyle w:val="TableGrid"/>
        <w:tblW w:w="12855" w:type="dxa"/>
        <w:tblLayout w:type="fixed"/>
        <w:tblCellMar>
          <w:left w:w="14" w:type="dxa"/>
          <w:right w:w="29" w:type="dxa"/>
        </w:tblCellMar>
        <w:tblLook w:val="04A0" w:firstRow="1" w:lastRow="0" w:firstColumn="1" w:lastColumn="0" w:noHBand="0" w:noVBand="1"/>
      </w:tblPr>
      <w:tblGrid>
        <w:gridCol w:w="1425"/>
        <w:gridCol w:w="1350"/>
        <w:gridCol w:w="1530"/>
        <w:gridCol w:w="720"/>
        <w:gridCol w:w="630"/>
        <w:gridCol w:w="630"/>
        <w:gridCol w:w="623"/>
        <w:gridCol w:w="477"/>
        <w:gridCol w:w="520"/>
        <w:gridCol w:w="720"/>
        <w:gridCol w:w="720"/>
        <w:gridCol w:w="630"/>
        <w:gridCol w:w="540"/>
        <w:gridCol w:w="630"/>
        <w:gridCol w:w="540"/>
        <w:gridCol w:w="540"/>
        <w:gridCol w:w="630"/>
      </w:tblGrid>
      <w:tr w:rsidR="00610B4F" w14:paraId="15D35DF7" w14:textId="77777777" w:rsidTr="00D440F8">
        <w:trPr>
          <w:trHeight w:val="599"/>
        </w:trPr>
        <w:tc>
          <w:tcPr>
            <w:tcW w:w="1425" w:type="dxa"/>
            <w:vMerge w:val="restart"/>
            <w:tcBorders>
              <w:top w:val="double" w:sz="4" w:space="0" w:color="auto"/>
              <w:left w:val="double" w:sz="4" w:space="0" w:color="auto"/>
            </w:tcBorders>
            <w:vAlign w:val="center"/>
          </w:tcPr>
          <w:p w14:paraId="5E598C07" w14:textId="77777777" w:rsidR="00610B4F" w:rsidRPr="00AA5CF3" w:rsidRDefault="00610B4F" w:rsidP="001A3D79">
            <w:pPr>
              <w:spacing w:line="276" w:lineRule="auto"/>
              <w:jc w:val="center"/>
              <w:rPr>
                <w:rFonts w:ascii="Times New Roman" w:eastAsiaTheme="minorEastAsia" w:hAnsi="Times New Roman"/>
                <w:b/>
                <w:bCs/>
                <w:noProof/>
                <w:sz w:val="20"/>
                <w:lang w:eastAsia="ko-KR"/>
              </w:rPr>
            </w:pPr>
            <w:r w:rsidRPr="00AA5CF3">
              <w:rPr>
                <w:rFonts w:ascii="Times New Roman" w:eastAsiaTheme="minorEastAsia" w:hAnsi="Times New Roman" w:hint="eastAsia"/>
                <w:b/>
                <w:bCs/>
                <w:noProof/>
                <w:sz w:val="20"/>
                <w:lang w:eastAsia="ko-KR"/>
              </w:rPr>
              <w:t>Variables</w:t>
            </w:r>
          </w:p>
        </w:tc>
        <w:tc>
          <w:tcPr>
            <w:tcW w:w="1350" w:type="dxa"/>
            <w:vMerge w:val="restart"/>
            <w:tcBorders>
              <w:top w:val="double" w:sz="4" w:space="0" w:color="auto"/>
            </w:tcBorders>
            <w:vAlign w:val="center"/>
          </w:tcPr>
          <w:p w14:paraId="2C5DD378" w14:textId="77777777" w:rsidR="00610B4F" w:rsidRDefault="00610B4F" w:rsidP="001A3D79">
            <w:pPr>
              <w:spacing w:line="276" w:lineRule="auto"/>
              <w:jc w:val="center"/>
              <w:rPr>
                <w:rFonts w:ascii="Times New Roman" w:eastAsiaTheme="minorEastAsia" w:hAnsi="Times New Roman"/>
                <w:b/>
                <w:bCs/>
                <w:noProof/>
                <w:sz w:val="20"/>
                <w:lang w:eastAsia="ko-KR"/>
              </w:rPr>
            </w:pPr>
            <w:r w:rsidRPr="00AA5CF3">
              <w:rPr>
                <w:rFonts w:ascii="Times New Roman" w:eastAsiaTheme="minorEastAsia" w:hAnsi="Times New Roman" w:hint="eastAsia"/>
                <w:b/>
                <w:bCs/>
                <w:noProof/>
                <w:sz w:val="20"/>
                <w:lang w:eastAsia="ko-KR"/>
              </w:rPr>
              <w:t>Base Level</w:t>
            </w:r>
          </w:p>
          <w:p w14:paraId="26865DCA" w14:textId="77777777" w:rsidR="00610B4F" w:rsidRPr="00AA5CF3" w:rsidRDefault="00610B4F" w:rsidP="001A3D79">
            <w:pPr>
              <w:spacing w:line="276" w:lineRule="auto"/>
              <w:jc w:val="center"/>
              <w:rPr>
                <w:rFonts w:ascii="Times New Roman" w:eastAsiaTheme="minorEastAsia" w:hAnsi="Times New Roman"/>
                <w:b/>
                <w:bCs/>
                <w:noProof/>
                <w:sz w:val="20"/>
                <w:lang w:eastAsia="ko-KR"/>
              </w:rPr>
            </w:pPr>
            <w:r w:rsidRPr="00AA5CF3">
              <w:rPr>
                <w:rFonts w:ascii="Times New Roman" w:eastAsiaTheme="minorEastAsia" w:hAnsi="Times New Roman" w:hint="eastAsia"/>
                <w:b/>
                <w:bCs/>
                <w:noProof/>
                <w:sz w:val="20"/>
                <w:lang w:eastAsia="ko-KR"/>
              </w:rPr>
              <w:t>(B</w:t>
            </w:r>
            <w:r>
              <w:rPr>
                <w:rFonts w:ascii="Times New Roman" w:eastAsiaTheme="minorEastAsia" w:hAnsi="Times New Roman" w:hint="eastAsia"/>
                <w:b/>
                <w:bCs/>
                <w:noProof/>
                <w:sz w:val="20"/>
                <w:lang w:eastAsia="ko-KR"/>
              </w:rPr>
              <w:t>L</w:t>
            </w:r>
            <w:r w:rsidRPr="00AA5CF3">
              <w:rPr>
                <w:rFonts w:ascii="Times New Roman" w:eastAsiaTheme="minorEastAsia" w:hAnsi="Times New Roman" w:hint="eastAsia"/>
                <w:b/>
                <w:bCs/>
                <w:noProof/>
                <w:sz w:val="20"/>
                <w:lang w:eastAsia="ko-KR"/>
              </w:rPr>
              <w:t>)</w:t>
            </w:r>
          </w:p>
        </w:tc>
        <w:tc>
          <w:tcPr>
            <w:tcW w:w="1530" w:type="dxa"/>
            <w:vMerge w:val="restart"/>
            <w:tcBorders>
              <w:top w:val="double" w:sz="4" w:space="0" w:color="auto"/>
              <w:right w:val="single" w:sz="8" w:space="0" w:color="auto"/>
            </w:tcBorders>
            <w:vAlign w:val="center"/>
          </w:tcPr>
          <w:p w14:paraId="0BC8D4E5" w14:textId="77777777" w:rsidR="00610B4F" w:rsidRDefault="00610B4F" w:rsidP="001A3D79">
            <w:pPr>
              <w:spacing w:line="276" w:lineRule="auto"/>
              <w:jc w:val="center"/>
              <w:rPr>
                <w:rFonts w:ascii="Times New Roman" w:eastAsiaTheme="minorEastAsia" w:hAnsi="Times New Roman"/>
                <w:b/>
                <w:bCs/>
                <w:noProof/>
                <w:sz w:val="20"/>
                <w:lang w:eastAsia="ko-KR"/>
              </w:rPr>
            </w:pPr>
            <w:r w:rsidRPr="00AA5CF3">
              <w:rPr>
                <w:rFonts w:ascii="Times New Roman" w:eastAsiaTheme="minorEastAsia" w:hAnsi="Times New Roman" w:hint="eastAsia"/>
                <w:b/>
                <w:bCs/>
                <w:noProof/>
                <w:sz w:val="20"/>
                <w:lang w:eastAsia="ko-KR"/>
              </w:rPr>
              <w:t>Treatment Level</w:t>
            </w:r>
          </w:p>
          <w:p w14:paraId="329C05BF" w14:textId="77777777" w:rsidR="00610B4F" w:rsidRPr="00AA5CF3" w:rsidRDefault="00610B4F" w:rsidP="001A3D79">
            <w:pPr>
              <w:spacing w:line="276" w:lineRule="auto"/>
              <w:jc w:val="center"/>
              <w:rPr>
                <w:rFonts w:ascii="Times New Roman" w:eastAsiaTheme="minorEastAsia" w:hAnsi="Times New Roman"/>
                <w:b/>
                <w:bCs/>
                <w:noProof/>
                <w:sz w:val="20"/>
                <w:lang w:eastAsia="ko-KR"/>
              </w:rPr>
            </w:pPr>
            <w:r w:rsidRPr="00AA5CF3">
              <w:rPr>
                <w:rFonts w:ascii="Times New Roman" w:eastAsiaTheme="minorEastAsia" w:hAnsi="Times New Roman" w:hint="eastAsia"/>
                <w:b/>
                <w:bCs/>
                <w:noProof/>
                <w:sz w:val="20"/>
                <w:lang w:eastAsia="ko-KR"/>
              </w:rPr>
              <w:t>(T</w:t>
            </w:r>
            <w:r>
              <w:rPr>
                <w:rFonts w:ascii="Times New Roman" w:eastAsiaTheme="minorEastAsia" w:hAnsi="Times New Roman" w:hint="eastAsia"/>
                <w:b/>
                <w:bCs/>
                <w:noProof/>
                <w:sz w:val="20"/>
                <w:lang w:eastAsia="ko-KR"/>
              </w:rPr>
              <w:t>L</w:t>
            </w:r>
            <w:r w:rsidRPr="00AA5CF3">
              <w:rPr>
                <w:rFonts w:ascii="Times New Roman" w:eastAsiaTheme="minorEastAsia" w:hAnsi="Times New Roman" w:hint="eastAsia"/>
                <w:b/>
                <w:bCs/>
                <w:noProof/>
                <w:sz w:val="20"/>
                <w:lang w:eastAsia="ko-KR"/>
              </w:rPr>
              <w:t>)</w:t>
            </w:r>
          </w:p>
        </w:tc>
        <w:tc>
          <w:tcPr>
            <w:tcW w:w="1980" w:type="dxa"/>
            <w:gridSpan w:val="3"/>
            <w:tcBorders>
              <w:top w:val="double" w:sz="4" w:space="0" w:color="auto"/>
              <w:left w:val="single" w:sz="8" w:space="0" w:color="auto"/>
              <w:right w:val="single" w:sz="8" w:space="0" w:color="auto"/>
            </w:tcBorders>
          </w:tcPr>
          <w:p w14:paraId="26953ED7" w14:textId="77777777" w:rsidR="00610B4F" w:rsidRDefault="00610B4F" w:rsidP="001A3D79">
            <w:pPr>
              <w:spacing w:line="276" w:lineRule="auto"/>
              <w:jc w:val="center"/>
              <w:rPr>
                <w:rFonts w:ascii="Times New Roman" w:eastAsiaTheme="minorEastAsia" w:hAnsi="Times New Roman"/>
                <w:b/>
                <w:bCs/>
                <w:noProof/>
                <w:sz w:val="20"/>
                <w:lang w:eastAsia="ko-KR"/>
              </w:rPr>
            </w:pPr>
            <w:r w:rsidRPr="00AA5CF3">
              <w:rPr>
                <w:rFonts w:ascii="Times New Roman" w:eastAsiaTheme="minorEastAsia" w:hAnsi="Times New Roman" w:hint="eastAsia"/>
                <w:b/>
                <w:bCs/>
                <w:noProof/>
                <w:sz w:val="20"/>
                <w:lang w:eastAsia="ko-KR"/>
              </w:rPr>
              <w:t>Social Companionship</w:t>
            </w:r>
          </w:p>
          <w:p w14:paraId="46987866" w14:textId="77777777" w:rsidR="00610B4F" w:rsidRPr="00AA5CF3" w:rsidRDefault="00610B4F" w:rsidP="001A3D79">
            <w:pPr>
              <w:spacing w:line="276" w:lineRule="auto"/>
              <w:jc w:val="center"/>
              <w:rPr>
                <w:rFonts w:ascii="Times New Roman" w:eastAsiaTheme="minorEastAsia" w:hAnsi="Times New Roman"/>
                <w:b/>
                <w:bCs/>
                <w:noProof/>
                <w:sz w:val="20"/>
                <w:lang w:eastAsia="ko-KR"/>
              </w:rPr>
            </w:pPr>
            <w:r w:rsidRPr="00AA5CF3">
              <w:rPr>
                <w:rFonts w:ascii="Times New Roman" w:eastAsiaTheme="minorEastAsia" w:hAnsi="Times New Roman" w:hint="eastAsia"/>
                <w:b/>
                <w:bCs/>
                <w:noProof/>
                <w:sz w:val="20"/>
                <w:lang w:eastAsia="ko-KR"/>
              </w:rPr>
              <w:t>(SC)</w:t>
            </w:r>
          </w:p>
        </w:tc>
        <w:tc>
          <w:tcPr>
            <w:tcW w:w="3060" w:type="dxa"/>
            <w:gridSpan w:val="5"/>
            <w:tcBorders>
              <w:top w:val="double" w:sz="4" w:space="0" w:color="auto"/>
              <w:left w:val="single" w:sz="8" w:space="0" w:color="auto"/>
              <w:right w:val="single" w:sz="8" w:space="0" w:color="auto"/>
            </w:tcBorders>
            <w:vAlign w:val="center"/>
          </w:tcPr>
          <w:p w14:paraId="624FC708" w14:textId="77777777" w:rsidR="00610B4F" w:rsidRPr="00AA5CF3" w:rsidRDefault="00610B4F" w:rsidP="001A3D79">
            <w:pPr>
              <w:spacing w:line="276" w:lineRule="auto"/>
              <w:jc w:val="center"/>
              <w:rPr>
                <w:rFonts w:ascii="Times New Roman" w:eastAsiaTheme="minorEastAsia" w:hAnsi="Times New Roman"/>
                <w:b/>
                <w:bCs/>
                <w:noProof/>
                <w:sz w:val="20"/>
                <w:lang w:eastAsia="ko-KR"/>
              </w:rPr>
            </w:pPr>
            <w:r w:rsidRPr="00AA5CF3">
              <w:rPr>
                <w:rFonts w:ascii="Times New Roman" w:eastAsiaTheme="minorEastAsia" w:hAnsi="Times New Roman" w:hint="eastAsia"/>
                <w:b/>
                <w:bCs/>
                <w:noProof/>
                <w:sz w:val="20"/>
                <w:lang w:eastAsia="ko-KR"/>
              </w:rPr>
              <w:t>Frequency</w:t>
            </w:r>
          </w:p>
        </w:tc>
        <w:tc>
          <w:tcPr>
            <w:tcW w:w="3510" w:type="dxa"/>
            <w:gridSpan w:val="6"/>
            <w:tcBorders>
              <w:top w:val="double" w:sz="4" w:space="0" w:color="auto"/>
              <w:left w:val="single" w:sz="8" w:space="0" w:color="auto"/>
              <w:right w:val="double" w:sz="4" w:space="0" w:color="auto"/>
            </w:tcBorders>
            <w:vAlign w:val="center"/>
          </w:tcPr>
          <w:p w14:paraId="29935FEA" w14:textId="77777777" w:rsidR="00610B4F" w:rsidRPr="00AA5CF3" w:rsidRDefault="00610B4F" w:rsidP="001A3D79">
            <w:pPr>
              <w:spacing w:line="276" w:lineRule="auto"/>
              <w:jc w:val="center"/>
              <w:rPr>
                <w:rFonts w:ascii="Times New Roman" w:eastAsiaTheme="minorEastAsia" w:hAnsi="Times New Roman"/>
                <w:b/>
                <w:bCs/>
                <w:noProof/>
                <w:sz w:val="20"/>
                <w:lang w:eastAsia="ko-KR"/>
              </w:rPr>
            </w:pPr>
            <w:r w:rsidRPr="00AA5CF3">
              <w:rPr>
                <w:rFonts w:ascii="Times New Roman" w:eastAsiaTheme="minorEastAsia" w:hAnsi="Times New Roman" w:hint="eastAsia"/>
                <w:b/>
                <w:bCs/>
                <w:noProof/>
                <w:sz w:val="20"/>
                <w:lang w:eastAsia="ko-KR"/>
              </w:rPr>
              <w:t>Duration</w:t>
            </w:r>
          </w:p>
        </w:tc>
      </w:tr>
      <w:tr w:rsidR="00610B4F" w14:paraId="6CEE30F5" w14:textId="77777777" w:rsidTr="00D440F8">
        <w:trPr>
          <w:trHeight w:val="152"/>
        </w:trPr>
        <w:tc>
          <w:tcPr>
            <w:tcW w:w="1425" w:type="dxa"/>
            <w:vMerge/>
            <w:tcBorders>
              <w:left w:val="double" w:sz="4" w:space="0" w:color="auto"/>
            </w:tcBorders>
          </w:tcPr>
          <w:p w14:paraId="68C88AEB" w14:textId="77777777" w:rsidR="00610B4F" w:rsidRPr="00AA5CF3" w:rsidRDefault="00610B4F" w:rsidP="001A3D79">
            <w:pPr>
              <w:spacing w:line="276" w:lineRule="auto"/>
              <w:jc w:val="both"/>
              <w:rPr>
                <w:rFonts w:ascii="Times New Roman" w:eastAsiaTheme="minorEastAsia" w:hAnsi="Times New Roman"/>
                <w:b/>
                <w:bCs/>
                <w:noProof/>
                <w:sz w:val="20"/>
                <w:lang w:eastAsia="ko-KR"/>
              </w:rPr>
            </w:pPr>
          </w:p>
        </w:tc>
        <w:tc>
          <w:tcPr>
            <w:tcW w:w="1350" w:type="dxa"/>
            <w:vMerge/>
          </w:tcPr>
          <w:p w14:paraId="7086506E" w14:textId="77777777" w:rsidR="00610B4F" w:rsidRPr="00AA5CF3" w:rsidRDefault="00610B4F" w:rsidP="001A3D79">
            <w:pPr>
              <w:spacing w:line="276" w:lineRule="auto"/>
              <w:jc w:val="both"/>
              <w:rPr>
                <w:rFonts w:ascii="Times New Roman" w:eastAsiaTheme="minorEastAsia" w:hAnsi="Times New Roman"/>
                <w:b/>
                <w:bCs/>
                <w:noProof/>
                <w:sz w:val="20"/>
                <w:lang w:eastAsia="ko-KR"/>
              </w:rPr>
            </w:pPr>
          </w:p>
        </w:tc>
        <w:tc>
          <w:tcPr>
            <w:tcW w:w="1530" w:type="dxa"/>
            <w:vMerge/>
            <w:tcBorders>
              <w:right w:val="single" w:sz="8" w:space="0" w:color="auto"/>
            </w:tcBorders>
          </w:tcPr>
          <w:p w14:paraId="6BC87DD9" w14:textId="77777777" w:rsidR="00610B4F" w:rsidRPr="00AA5CF3" w:rsidRDefault="00610B4F" w:rsidP="001A3D79">
            <w:pPr>
              <w:spacing w:line="276" w:lineRule="auto"/>
              <w:jc w:val="both"/>
              <w:rPr>
                <w:rFonts w:ascii="Times New Roman" w:eastAsiaTheme="minorEastAsia" w:hAnsi="Times New Roman"/>
                <w:b/>
                <w:bCs/>
                <w:noProof/>
                <w:sz w:val="20"/>
                <w:lang w:eastAsia="ko-KR"/>
              </w:rPr>
            </w:pPr>
          </w:p>
        </w:tc>
        <w:tc>
          <w:tcPr>
            <w:tcW w:w="1350" w:type="dxa"/>
            <w:gridSpan w:val="2"/>
            <w:tcBorders>
              <w:left w:val="single" w:sz="8" w:space="0" w:color="auto"/>
              <w:right w:val="single" w:sz="6" w:space="0" w:color="auto"/>
            </w:tcBorders>
          </w:tcPr>
          <w:p w14:paraId="0590F1A3" w14:textId="77777777" w:rsidR="00610B4F" w:rsidRPr="00AA5CF3" w:rsidRDefault="00610B4F" w:rsidP="001A3D79">
            <w:pPr>
              <w:spacing w:line="276" w:lineRule="auto"/>
              <w:jc w:val="center"/>
              <w:rPr>
                <w:rFonts w:ascii="Times New Roman" w:eastAsiaTheme="minorEastAsia" w:hAnsi="Times New Roman"/>
                <w:b/>
                <w:bCs/>
                <w:noProof/>
                <w:sz w:val="20"/>
                <w:lang w:eastAsia="ko-KR"/>
              </w:rPr>
            </w:pPr>
            <w:r>
              <w:rPr>
                <w:rFonts w:ascii="Times New Roman" w:eastAsiaTheme="minorEastAsia" w:hAnsi="Times New Roman" w:hint="eastAsia"/>
                <w:b/>
                <w:bCs/>
                <w:noProof/>
                <w:sz w:val="20"/>
                <w:lang w:eastAsia="ko-KR"/>
              </w:rPr>
              <w:t>Share of SC often/always</w:t>
            </w:r>
          </w:p>
        </w:tc>
        <w:tc>
          <w:tcPr>
            <w:tcW w:w="630" w:type="dxa"/>
            <w:vMerge w:val="restart"/>
            <w:tcBorders>
              <w:left w:val="single" w:sz="6" w:space="0" w:color="auto"/>
              <w:right w:val="single" w:sz="8" w:space="0" w:color="auto"/>
            </w:tcBorders>
            <w:vAlign w:val="center"/>
          </w:tcPr>
          <w:p w14:paraId="24929AD0" w14:textId="77777777" w:rsidR="00610B4F" w:rsidRDefault="00610B4F" w:rsidP="001A3D79">
            <w:pPr>
              <w:spacing w:line="276" w:lineRule="auto"/>
              <w:jc w:val="center"/>
              <w:rPr>
                <w:rFonts w:ascii="Times New Roman" w:eastAsiaTheme="minorEastAsia" w:hAnsi="Times New Roman"/>
                <w:b/>
                <w:bCs/>
                <w:noProof/>
                <w:sz w:val="20"/>
                <w:lang w:eastAsia="ko-KR"/>
              </w:rPr>
            </w:pPr>
            <w:r w:rsidRPr="00AA5CF3">
              <w:rPr>
                <w:rFonts w:ascii="Times New Roman" w:eastAsiaTheme="minorEastAsia" w:hAnsi="Times New Roman" w:hint="eastAsia"/>
                <w:b/>
                <w:bCs/>
                <w:noProof/>
                <w:sz w:val="20"/>
                <w:lang w:eastAsia="ko-KR"/>
              </w:rPr>
              <w:t>Total ATE</w:t>
            </w:r>
          </w:p>
          <w:p w14:paraId="2749D191" w14:textId="77777777" w:rsidR="00610B4F" w:rsidRPr="00AA5CF3" w:rsidRDefault="00610B4F" w:rsidP="001A3D79">
            <w:pPr>
              <w:spacing w:line="276" w:lineRule="auto"/>
              <w:jc w:val="center"/>
              <w:rPr>
                <w:rFonts w:ascii="Times New Roman" w:eastAsiaTheme="minorEastAsia" w:hAnsi="Times New Roman"/>
                <w:b/>
                <w:bCs/>
                <w:noProof/>
                <w:sz w:val="20"/>
                <w:lang w:eastAsia="ko-KR"/>
              </w:rPr>
            </w:pPr>
            <w:r w:rsidRPr="00AA5CF3">
              <w:rPr>
                <w:rFonts w:ascii="Times New Roman" w:eastAsiaTheme="minorEastAsia" w:hAnsi="Times New Roman" w:hint="eastAsia"/>
                <w:b/>
                <w:bCs/>
                <w:noProof/>
                <w:sz w:val="20"/>
                <w:lang w:eastAsia="ko-KR"/>
              </w:rPr>
              <w:t>(%)</w:t>
            </w:r>
          </w:p>
        </w:tc>
        <w:tc>
          <w:tcPr>
            <w:tcW w:w="1100" w:type="dxa"/>
            <w:gridSpan w:val="2"/>
            <w:tcBorders>
              <w:left w:val="single" w:sz="8" w:space="0" w:color="auto"/>
            </w:tcBorders>
            <w:vAlign w:val="center"/>
          </w:tcPr>
          <w:p w14:paraId="55F95D66" w14:textId="77777777" w:rsidR="00610B4F" w:rsidRDefault="00610B4F" w:rsidP="001A3D79">
            <w:pPr>
              <w:spacing w:line="276" w:lineRule="auto"/>
              <w:jc w:val="center"/>
              <w:rPr>
                <w:rFonts w:ascii="Times New Roman" w:eastAsiaTheme="minorEastAsia" w:hAnsi="Times New Roman"/>
                <w:b/>
                <w:bCs/>
                <w:noProof/>
                <w:sz w:val="20"/>
                <w:lang w:eastAsia="ko-KR"/>
              </w:rPr>
            </w:pPr>
            <w:r w:rsidRPr="00AA5CF3">
              <w:rPr>
                <w:rFonts w:ascii="Times New Roman" w:eastAsiaTheme="minorEastAsia" w:hAnsi="Times New Roman" w:hint="eastAsia"/>
                <w:b/>
                <w:bCs/>
                <w:noProof/>
                <w:sz w:val="20"/>
                <w:lang w:eastAsia="ko-KR"/>
              </w:rPr>
              <w:t>Waling Frequency</w:t>
            </w:r>
          </w:p>
          <w:p w14:paraId="5A80F4F5" w14:textId="77777777" w:rsidR="00610B4F" w:rsidRPr="00AA5CF3" w:rsidRDefault="00610B4F" w:rsidP="001A3D79">
            <w:pPr>
              <w:spacing w:line="276" w:lineRule="auto"/>
              <w:jc w:val="center"/>
              <w:rPr>
                <w:rFonts w:ascii="Times New Roman" w:eastAsiaTheme="minorEastAsia" w:hAnsi="Times New Roman"/>
                <w:b/>
                <w:bCs/>
                <w:noProof/>
                <w:sz w:val="20"/>
                <w:lang w:eastAsia="ko-KR"/>
              </w:rPr>
            </w:pPr>
            <w:r w:rsidRPr="00AA5CF3">
              <w:rPr>
                <w:rFonts w:ascii="Times New Roman" w:eastAsiaTheme="minorEastAsia" w:hAnsi="Times New Roman" w:hint="eastAsia"/>
                <w:b/>
                <w:bCs/>
                <w:noProof/>
                <w:sz w:val="20"/>
                <w:lang w:eastAsia="ko-KR"/>
              </w:rPr>
              <w:t>(per week)</w:t>
            </w:r>
          </w:p>
        </w:tc>
        <w:tc>
          <w:tcPr>
            <w:tcW w:w="520" w:type="dxa"/>
            <w:vMerge w:val="restart"/>
            <w:vAlign w:val="center"/>
          </w:tcPr>
          <w:p w14:paraId="20425238" w14:textId="77777777" w:rsidR="00610B4F" w:rsidRDefault="00610B4F" w:rsidP="001A3D79">
            <w:pPr>
              <w:spacing w:line="276" w:lineRule="auto"/>
              <w:jc w:val="center"/>
              <w:rPr>
                <w:rFonts w:ascii="Times New Roman" w:eastAsiaTheme="minorEastAsia" w:hAnsi="Times New Roman"/>
                <w:b/>
                <w:bCs/>
                <w:noProof/>
                <w:sz w:val="20"/>
                <w:lang w:eastAsia="ko-KR"/>
              </w:rPr>
            </w:pPr>
            <w:r w:rsidRPr="00AA5CF3">
              <w:rPr>
                <w:rFonts w:ascii="Times New Roman" w:eastAsiaTheme="minorEastAsia" w:hAnsi="Times New Roman" w:hint="eastAsia"/>
                <w:b/>
                <w:bCs/>
                <w:noProof/>
                <w:sz w:val="20"/>
                <w:lang w:eastAsia="ko-KR"/>
              </w:rPr>
              <w:t>Total ATE</w:t>
            </w:r>
          </w:p>
          <w:p w14:paraId="2B58E172" w14:textId="77777777" w:rsidR="00610B4F" w:rsidRPr="00AA5CF3" w:rsidRDefault="00610B4F" w:rsidP="001A3D79">
            <w:pPr>
              <w:spacing w:line="276" w:lineRule="auto"/>
              <w:jc w:val="center"/>
              <w:rPr>
                <w:rFonts w:ascii="Times New Roman" w:eastAsiaTheme="minorEastAsia" w:hAnsi="Times New Roman"/>
                <w:b/>
                <w:bCs/>
                <w:noProof/>
                <w:sz w:val="20"/>
                <w:lang w:eastAsia="ko-KR"/>
              </w:rPr>
            </w:pPr>
            <w:r w:rsidRPr="00AA5CF3">
              <w:rPr>
                <w:rFonts w:ascii="Times New Roman" w:eastAsiaTheme="minorEastAsia" w:hAnsi="Times New Roman" w:hint="eastAsia"/>
                <w:b/>
                <w:bCs/>
                <w:noProof/>
                <w:sz w:val="20"/>
                <w:lang w:eastAsia="ko-KR"/>
              </w:rPr>
              <w:t>(%)</w:t>
            </w:r>
          </w:p>
        </w:tc>
        <w:tc>
          <w:tcPr>
            <w:tcW w:w="1440" w:type="dxa"/>
            <w:gridSpan w:val="2"/>
            <w:tcBorders>
              <w:right w:val="single" w:sz="8" w:space="0" w:color="auto"/>
            </w:tcBorders>
            <w:vAlign w:val="center"/>
          </w:tcPr>
          <w:p w14:paraId="0BCDA79C" w14:textId="77777777" w:rsidR="00610B4F" w:rsidRPr="00AA5CF3" w:rsidRDefault="00610B4F" w:rsidP="001A3D79">
            <w:pPr>
              <w:spacing w:line="276" w:lineRule="auto"/>
              <w:jc w:val="center"/>
              <w:rPr>
                <w:rFonts w:ascii="Times New Roman" w:eastAsiaTheme="minorEastAsia" w:hAnsi="Times New Roman"/>
                <w:b/>
                <w:bCs/>
                <w:noProof/>
                <w:sz w:val="20"/>
                <w:lang w:eastAsia="ko-KR"/>
              </w:rPr>
            </w:pPr>
            <w:r w:rsidRPr="00002AB7">
              <w:rPr>
                <w:rFonts w:ascii="Times New Roman" w:hAnsi="Times New Roman" w:hint="eastAsia"/>
                <w:b/>
                <w:bCs/>
                <w:color w:val="000000"/>
                <w:sz w:val="20"/>
              </w:rPr>
              <w:t>% Contribution by sources of effect*</w:t>
            </w:r>
          </w:p>
        </w:tc>
        <w:tc>
          <w:tcPr>
            <w:tcW w:w="1170" w:type="dxa"/>
            <w:gridSpan w:val="2"/>
            <w:tcBorders>
              <w:left w:val="single" w:sz="8" w:space="0" w:color="auto"/>
            </w:tcBorders>
            <w:vAlign w:val="center"/>
          </w:tcPr>
          <w:p w14:paraId="6BA3D34D" w14:textId="77777777" w:rsidR="00610B4F" w:rsidRPr="00AA5CF3" w:rsidRDefault="00610B4F" w:rsidP="001A3D79">
            <w:pPr>
              <w:jc w:val="center"/>
              <w:rPr>
                <w:rFonts w:ascii="Times New Roman" w:eastAsiaTheme="minorEastAsia" w:hAnsi="Times New Roman"/>
                <w:b/>
                <w:bCs/>
                <w:noProof/>
                <w:sz w:val="20"/>
                <w:lang w:eastAsia="ko-KR"/>
              </w:rPr>
            </w:pPr>
            <w:r>
              <w:rPr>
                <w:rFonts w:ascii="Times New Roman" w:hAnsi="Times New Roman"/>
                <w:b/>
                <w:bCs/>
                <w:color w:val="000000"/>
                <w:sz w:val="20"/>
              </w:rPr>
              <w:t>Walking Duration per day</w:t>
            </w:r>
            <w:r>
              <w:rPr>
                <w:rFonts w:ascii="Times New Roman" w:eastAsiaTheme="minorEastAsia" w:hAnsi="Times New Roman" w:hint="eastAsia"/>
                <w:b/>
                <w:bCs/>
                <w:color w:val="000000"/>
                <w:sz w:val="20"/>
                <w:lang w:eastAsia="ko-KR"/>
              </w:rPr>
              <w:t xml:space="preserve"> (Min)</w:t>
            </w:r>
          </w:p>
        </w:tc>
        <w:tc>
          <w:tcPr>
            <w:tcW w:w="630" w:type="dxa"/>
            <w:vMerge w:val="restart"/>
            <w:vAlign w:val="center"/>
          </w:tcPr>
          <w:p w14:paraId="06EE23B1" w14:textId="77777777" w:rsidR="00610B4F" w:rsidRPr="00002AB7" w:rsidRDefault="00610B4F" w:rsidP="001A3D79">
            <w:pPr>
              <w:jc w:val="center"/>
              <w:rPr>
                <w:rFonts w:ascii="Times New Roman" w:hAnsi="Times New Roman"/>
                <w:b/>
                <w:bCs/>
                <w:color w:val="000000"/>
                <w:sz w:val="20"/>
              </w:rPr>
            </w:pPr>
            <w:r w:rsidRPr="00451221">
              <w:rPr>
                <w:rFonts w:ascii="Times New Roman" w:eastAsia="Times New Roman" w:hAnsi="Times New Roman"/>
                <w:b/>
                <w:bCs/>
                <w:color w:val="000000"/>
                <w:sz w:val="20"/>
              </w:rPr>
              <w:t>Total</w:t>
            </w:r>
          </w:p>
          <w:p w14:paraId="78DBF45F" w14:textId="77777777" w:rsidR="00610B4F" w:rsidRPr="00002AB7" w:rsidRDefault="00610B4F" w:rsidP="001A3D79">
            <w:pPr>
              <w:jc w:val="center"/>
              <w:rPr>
                <w:rFonts w:ascii="Times New Roman" w:hAnsi="Times New Roman"/>
                <w:b/>
                <w:bCs/>
                <w:color w:val="000000"/>
                <w:sz w:val="20"/>
              </w:rPr>
            </w:pPr>
            <w:r w:rsidRPr="00002AB7">
              <w:rPr>
                <w:rFonts w:ascii="Times New Roman" w:hAnsi="Times New Roman" w:hint="eastAsia"/>
                <w:b/>
                <w:bCs/>
                <w:color w:val="000000"/>
                <w:sz w:val="20"/>
              </w:rPr>
              <w:t>ATE</w:t>
            </w:r>
          </w:p>
          <w:p w14:paraId="293ACDC2" w14:textId="77777777" w:rsidR="00610B4F" w:rsidRPr="00AA5CF3" w:rsidRDefault="00610B4F" w:rsidP="001A3D79">
            <w:pPr>
              <w:spacing w:line="276" w:lineRule="auto"/>
              <w:jc w:val="center"/>
              <w:rPr>
                <w:rFonts w:ascii="Times New Roman" w:eastAsiaTheme="minorEastAsia" w:hAnsi="Times New Roman"/>
                <w:b/>
                <w:bCs/>
                <w:noProof/>
                <w:sz w:val="20"/>
                <w:lang w:eastAsia="ko-KR"/>
              </w:rPr>
            </w:pPr>
            <w:r w:rsidRPr="00002AB7">
              <w:rPr>
                <w:rFonts w:ascii="Times New Roman" w:hAnsi="Times New Roman" w:hint="eastAsia"/>
                <w:b/>
                <w:bCs/>
                <w:color w:val="000000"/>
                <w:sz w:val="20"/>
              </w:rPr>
              <w:t>(%)</w:t>
            </w:r>
          </w:p>
        </w:tc>
        <w:tc>
          <w:tcPr>
            <w:tcW w:w="1710" w:type="dxa"/>
            <w:gridSpan w:val="3"/>
            <w:tcBorders>
              <w:right w:val="double" w:sz="4" w:space="0" w:color="auto"/>
            </w:tcBorders>
            <w:vAlign w:val="center"/>
          </w:tcPr>
          <w:p w14:paraId="4FF45F05" w14:textId="77777777" w:rsidR="00610B4F" w:rsidRPr="00AA5CF3" w:rsidRDefault="00610B4F" w:rsidP="001A3D79">
            <w:pPr>
              <w:spacing w:line="276" w:lineRule="auto"/>
              <w:jc w:val="center"/>
              <w:rPr>
                <w:rFonts w:ascii="Times New Roman" w:eastAsiaTheme="minorEastAsia" w:hAnsi="Times New Roman"/>
                <w:b/>
                <w:bCs/>
                <w:noProof/>
                <w:sz w:val="20"/>
                <w:lang w:eastAsia="ko-KR"/>
              </w:rPr>
            </w:pPr>
            <w:r w:rsidRPr="00002AB7">
              <w:rPr>
                <w:rFonts w:ascii="Times New Roman" w:hAnsi="Times New Roman" w:hint="eastAsia"/>
                <w:b/>
                <w:bCs/>
                <w:color w:val="000000"/>
                <w:sz w:val="20"/>
              </w:rPr>
              <w:t>% Contribution by sources of effect*</w:t>
            </w:r>
          </w:p>
        </w:tc>
      </w:tr>
      <w:tr w:rsidR="00610B4F" w14:paraId="710955C8" w14:textId="77777777" w:rsidTr="00D440F8">
        <w:trPr>
          <w:trHeight w:val="628"/>
        </w:trPr>
        <w:tc>
          <w:tcPr>
            <w:tcW w:w="1425" w:type="dxa"/>
            <w:vMerge/>
            <w:tcBorders>
              <w:left w:val="double" w:sz="4" w:space="0" w:color="auto"/>
            </w:tcBorders>
          </w:tcPr>
          <w:p w14:paraId="08D927A9" w14:textId="77777777" w:rsidR="00610B4F" w:rsidRPr="00AA5CF3" w:rsidRDefault="00610B4F" w:rsidP="001A3D79">
            <w:pPr>
              <w:spacing w:line="276" w:lineRule="auto"/>
              <w:jc w:val="both"/>
              <w:rPr>
                <w:rFonts w:ascii="Times New Roman" w:eastAsiaTheme="minorEastAsia" w:hAnsi="Times New Roman"/>
                <w:b/>
                <w:bCs/>
                <w:noProof/>
                <w:sz w:val="20"/>
                <w:lang w:eastAsia="ko-KR"/>
              </w:rPr>
            </w:pPr>
          </w:p>
        </w:tc>
        <w:tc>
          <w:tcPr>
            <w:tcW w:w="1350" w:type="dxa"/>
            <w:vMerge/>
          </w:tcPr>
          <w:p w14:paraId="0DD32D3A" w14:textId="77777777" w:rsidR="00610B4F" w:rsidRPr="00AA5CF3" w:rsidRDefault="00610B4F" w:rsidP="001A3D79">
            <w:pPr>
              <w:spacing w:line="276" w:lineRule="auto"/>
              <w:jc w:val="both"/>
              <w:rPr>
                <w:rFonts w:ascii="Times New Roman" w:eastAsiaTheme="minorEastAsia" w:hAnsi="Times New Roman"/>
                <w:b/>
                <w:bCs/>
                <w:noProof/>
                <w:sz w:val="20"/>
                <w:lang w:eastAsia="ko-KR"/>
              </w:rPr>
            </w:pPr>
          </w:p>
        </w:tc>
        <w:tc>
          <w:tcPr>
            <w:tcW w:w="1530" w:type="dxa"/>
            <w:vMerge/>
            <w:tcBorders>
              <w:right w:val="single" w:sz="8" w:space="0" w:color="auto"/>
            </w:tcBorders>
          </w:tcPr>
          <w:p w14:paraId="797AD1B3" w14:textId="77777777" w:rsidR="00610B4F" w:rsidRPr="00AA5CF3" w:rsidRDefault="00610B4F" w:rsidP="001A3D79">
            <w:pPr>
              <w:spacing w:line="276" w:lineRule="auto"/>
              <w:jc w:val="both"/>
              <w:rPr>
                <w:rFonts w:ascii="Times New Roman" w:eastAsiaTheme="minorEastAsia" w:hAnsi="Times New Roman"/>
                <w:b/>
                <w:bCs/>
                <w:noProof/>
                <w:sz w:val="20"/>
                <w:lang w:eastAsia="ko-KR"/>
              </w:rPr>
            </w:pPr>
          </w:p>
        </w:tc>
        <w:tc>
          <w:tcPr>
            <w:tcW w:w="720" w:type="dxa"/>
            <w:tcBorders>
              <w:left w:val="single" w:sz="8" w:space="0" w:color="auto"/>
            </w:tcBorders>
            <w:vAlign w:val="bottom"/>
          </w:tcPr>
          <w:p w14:paraId="77CBB2BD" w14:textId="77777777" w:rsidR="00610B4F" w:rsidRPr="00AA5CF3" w:rsidRDefault="00610B4F" w:rsidP="001A3D79">
            <w:pPr>
              <w:spacing w:line="276" w:lineRule="auto"/>
              <w:jc w:val="center"/>
              <w:rPr>
                <w:rFonts w:ascii="Times New Roman" w:eastAsiaTheme="minorEastAsia" w:hAnsi="Times New Roman"/>
                <w:b/>
                <w:bCs/>
                <w:noProof/>
                <w:sz w:val="20"/>
                <w:lang w:eastAsia="ko-KR"/>
              </w:rPr>
            </w:pPr>
            <w:r>
              <w:rPr>
                <w:rFonts w:ascii="Times New Roman" w:eastAsiaTheme="minorEastAsia" w:hAnsi="Times New Roman" w:hint="eastAsia"/>
                <w:b/>
                <w:bCs/>
                <w:noProof/>
                <w:sz w:val="20"/>
                <w:lang w:eastAsia="ko-KR"/>
              </w:rPr>
              <w:t>BL</w:t>
            </w:r>
          </w:p>
        </w:tc>
        <w:tc>
          <w:tcPr>
            <w:tcW w:w="630" w:type="dxa"/>
            <w:tcBorders>
              <w:right w:val="single" w:sz="6" w:space="0" w:color="auto"/>
            </w:tcBorders>
            <w:vAlign w:val="bottom"/>
          </w:tcPr>
          <w:p w14:paraId="5C950075" w14:textId="77777777" w:rsidR="00610B4F" w:rsidRPr="00AA5CF3" w:rsidRDefault="00610B4F" w:rsidP="001A3D79">
            <w:pPr>
              <w:spacing w:line="276" w:lineRule="auto"/>
              <w:jc w:val="center"/>
              <w:rPr>
                <w:rFonts w:ascii="Times New Roman" w:eastAsiaTheme="minorEastAsia" w:hAnsi="Times New Roman"/>
                <w:b/>
                <w:bCs/>
                <w:noProof/>
                <w:sz w:val="20"/>
                <w:lang w:eastAsia="ko-KR"/>
              </w:rPr>
            </w:pPr>
            <w:r>
              <w:rPr>
                <w:rFonts w:ascii="Times New Roman" w:eastAsiaTheme="minorEastAsia" w:hAnsi="Times New Roman" w:hint="eastAsia"/>
                <w:b/>
                <w:bCs/>
                <w:noProof/>
                <w:sz w:val="20"/>
                <w:lang w:eastAsia="ko-KR"/>
              </w:rPr>
              <w:t>TL</w:t>
            </w:r>
          </w:p>
        </w:tc>
        <w:tc>
          <w:tcPr>
            <w:tcW w:w="630" w:type="dxa"/>
            <w:vMerge/>
            <w:tcBorders>
              <w:left w:val="single" w:sz="6" w:space="0" w:color="auto"/>
              <w:right w:val="single" w:sz="8" w:space="0" w:color="auto"/>
            </w:tcBorders>
          </w:tcPr>
          <w:p w14:paraId="5B3F75D3" w14:textId="77777777" w:rsidR="00610B4F" w:rsidRPr="00AA5CF3" w:rsidRDefault="00610B4F" w:rsidP="001A3D79">
            <w:pPr>
              <w:spacing w:line="276" w:lineRule="auto"/>
              <w:jc w:val="both"/>
              <w:rPr>
                <w:rFonts w:ascii="Times New Roman" w:eastAsiaTheme="minorEastAsia" w:hAnsi="Times New Roman"/>
                <w:b/>
                <w:bCs/>
                <w:noProof/>
                <w:sz w:val="20"/>
                <w:lang w:eastAsia="ko-KR"/>
              </w:rPr>
            </w:pPr>
          </w:p>
        </w:tc>
        <w:tc>
          <w:tcPr>
            <w:tcW w:w="623" w:type="dxa"/>
            <w:tcBorders>
              <w:left w:val="single" w:sz="8" w:space="0" w:color="auto"/>
            </w:tcBorders>
            <w:vAlign w:val="bottom"/>
          </w:tcPr>
          <w:p w14:paraId="2C97FA04" w14:textId="77777777" w:rsidR="00610B4F" w:rsidRPr="00FC14B7" w:rsidRDefault="00610B4F" w:rsidP="001A3D79">
            <w:pPr>
              <w:spacing w:line="276" w:lineRule="auto"/>
              <w:jc w:val="center"/>
              <w:rPr>
                <w:rFonts w:ascii="Times New Roman" w:eastAsiaTheme="minorEastAsia" w:hAnsi="Times New Roman"/>
                <w:b/>
                <w:bCs/>
                <w:noProof/>
                <w:sz w:val="20"/>
                <w:lang w:eastAsia="ko-KR"/>
              </w:rPr>
            </w:pPr>
            <w:r>
              <w:rPr>
                <w:rFonts w:ascii="Times New Roman" w:hAnsi="Times New Roman"/>
                <w:b/>
                <w:bCs/>
                <w:color w:val="000000"/>
                <w:sz w:val="20"/>
              </w:rPr>
              <w:t>B</w:t>
            </w:r>
            <w:r>
              <w:rPr>
                <w:rFonts w:ascii="Times New Roman" w:eastAsiaTheme="minorEastAsia" w:hAnsi="Times New Roman" w:hint="eastAsia"/>
                <w:b/>
                <w:bCs/>
                <w:color w:val="000000"/>
                <w:sz w:val="20"/>
                <w:lang w:eastAsia="ko-KR"/>
              </w:rPr>
              <w:t>L</w:t>
            </w:r>
          </w:p>
        </w:tc>
        <w:tc>
          <w:tcPr>
            <w:tcW w:w="477" w:type="dxa"/>
            <w:vAlign w:val="bottom"/>
          </w:tcPr>
          <w:p w14:paraId="5D5F478A" w14:textId="77777777" w:rsidR="00610B4F" w:rsidRPr="00FC14B7" w:rsidRDefault="00610B4F" w:rsidP="001A3D79">
            <w:pPr>
              <w:spacing w:line="276" w:lineRule="auto"/>
              <w:jc w:val="center"/>
              <w:rPr>
                <w:rFonts w:ascii="Times New Roman" w:eastAsiaTheme="minorEastAsia" w:hAnsi="Times New Roman"/>
                <w:b/>
                <w:bCs/>
                <w:noProof/>
                <w:sz w:val="20"/>
                <w:lang w:eastAsia="ko-KR"/>
              </w:rPr>
            </w:pPr>
            <w:r>
              <w:rPr>
                <w:rFonts w:ascii="Times New Roman" w:hAnsi="Times New Roman"/>
                <w:b/>
                <w:bCs/>
                <w:color w:val="000000"/>
                <w:sz w:val="20"/>
              </w:rPr>
              <w:t>T</w:t>
            </w:r>
            <w:r>
              <w:rPr>
                <w:rFonts w:ascii="Times New Roman" w:eastAsiaTheme="minorEastAsia" w:hAnsi="Times New Roman" w:hint="eastAsia"/>
                <w:b/>
                <w:bCs/>
                <w:color w:val="000000"/>
                <w:sz w:val="20"/>
                <w:lang w:eastAsia="ko-KR"/>
              </w:rPr>
              <w:t>L</w:t>
            </w:r>
          </w:p>
        </w:tc>
        <w:tc>
          <w:tcPr>
            <w:tcW w:w="520" w:type="dxa"/>
            <w:vMerge/>
          </w:tcPr>
          <w:p w14:paraId="2B485C0A" w14:textId="77777777" w:rsidR="00610B4F" w:rsidRPr="00AA5CF3" w:rsidRDefault="00610B4F" w:rsidP="001A3D79">
            <w:pPr>
              <w:spacing w:line="276" w:lineRule="auto"/>
              <w:jc w:val="both"/>
              <w:rPr>
                <w:rFonts w:ascii="Times New Roman" w:eastAsiaTheme="minorEastAsia" w:hAnsi="Times New Roman"/>
                <w:b/>
                <w:bCs/>
                <w:noProof/>
                <w:sz w:val="20"/>
                <w:lang w:eastAsia="ko-KR"/>
              </w:rPr>
            </w:pPr>
          </w:p>
        </w:tc>
        <w:tc>
          <w:tcPr>
            <w:tcW w:w="720" w:type="dxa"/>
            <w:vAlign w:val="bottom"/>
          </w:tcPr>
          <w:p w14:paraId="11FFBC7C" w14:textId="77777777" w:rsidR="00610B4F" w:rsidRPr="00C63C47" w:rsidRDefault="00610B4F" w:rsidP="001A3D79">
            <w:pPr>
              <w:spacing w:line="276" w:lineRule="auto"/>
              <w:jc w:val="center"/>
              <w:rPr>
                <w:rFonts w:ascii="Times New Roman" w:eastAsiaTheme="minorEastAsia" w:hAnsi="Times New Roman"/>
                <w:b/>
                <w:bCs/>
                <w:color w:val="000000"/>
                <w:sz w:val="20"/>
                <w:lang w:eastAsia="ko-KR"/>
              </w:rPr>
            </w:pPr>
            <w:r>
              <w:rPr>
                <w:rFonts w:ascii="Times New Roman" w:eastAsiaTheme="minorEastAsia" w:hAnsi="Times New Roman" w:hint="eastAsia"/>
                <w:b/>
                <w:bCs/>
                <w:color w:val="000000"/>
                <w:sz w:val="20"/>
                <w:lang w:eastAsia="ko-KR"/>
              </w:rPr>
              <w:t>SC</w:t>
            </w:r>
          </w:p>
        </w:tc>
        <w:tc>
          <w:tcPr>
            <w:tcW w:w="720" w:type="dxa"/>
            <w:tcBorders>
              <w:right w:val="single" w:sz="8" w:space="0" w:color="auto"/>
            </w:tcBorders>
            <w:vAlign w:val="bottom"/>
          </w:tcPr>
          <w:p w14:paraId="1AEE9427" w14:textId="77777777" w:rsidR="00610B4F" w:rsidRPr="00AA5CF3" w:rsidRDefault="00610B4F" w:rsidP="001A3D79">
            <w:pPr>
              <w:spacing w:line="276" w:lineRule="auto"/>
              <w:jc w:val="center"/>
              <w:rPr>
                <w:rFonts w:ascii="Times New Roman" w:eastAsiaTheme="minorEastAsia" w:hAnsi="Times New Roman"/>
                <w:b/>
                <w:bCs/>
                <w:noProof/>
                <w:sz w:val="20"/>
                <w:lang w:eastAsia="ko-KR"/>
              </w:rPr>
            </w:pPr>
            <w:r w:rsidRPr="00451221">
              <w:rPr>
                <w:rFonts w:ascii="Times New Roman" w:eastAsia="Times New Roman" w:hAnsi="Times New Roman"/>
                <w:b/>
                <w:bCs/>
                <w:color w:val="000000"/>
                <w:sz w:val="20"/>
              </w:rPr>
              <w:t>Direct</w:t>
            </w:r>
          </w:p>
        </w:tc>
        <w:tc>
          <w:tcPr>
            <w:tcW w:w="630" w:type="dxa"/>
            <w:tcBorders>
              <w:left w:val="single" w:sz="8" w:space="0" w:color="auto"/>
            </w:tcBorders>
            <w:vAlign w:val="bottom"/>
          </w:tcPr>
          <w:p w14:paraId="4DB64AFF" w14:textId="77777777" w:rsidR="00610B4F" w:rsidRPr="00FC14B7" w:rsidRDefault="00610B4F" w:rsidP="001A3D79">
            <w:pPr>
              <w:jc w:val="center"/>
              <w:rPr>
                <w:rFonts w:ascii="Times New Roman" w:eastAsiaTheme="minorEastAsia" w:hAnsi="Times New Roman"/>
                <w:b/>
                <w:bCs/>
                <w:color w:val="000000"/>
                <w:sz w:val="20"/>
                <w:lang w:eastAsia="ko-KR"/>
              </w:rPr>
            </w:pPr>
            <w:r>
              <w:rPr>
                <w:rFonts w:ascii="Times New Roman" w:hAnsi="Times New Roman"/>
                <w:b/>
                <w:bCs/>
                <w:color w:val="000000"/>
                <w:sz w:val="20"/>
              </w:rPr>
              <w:t>B</w:t>
            </w:r>
            <w:r>
              <w:rPr>
                <w:rFonts w:ascii="Times New Roman" w:eastAsiaTheme="minorEastAsia" w:hAnsi="Times New Roman" w:hint="eastAsia"/>
                <w:b/>
                <w:bCs/>
                <w:color w:val="000000"/>
                <w:sz w:val="20"/>
                <w:lang w:eastAsia="ko-KR"/>
              </w:rPr>
              <w:t>L</w:t>
            </w:r>
          </w:p>
        </w:tc>
        <w:tc>
          <w:tcPr>
            <w:tcW w:w="540" w:type="dxa"/>
            <w:vAlign w:val="bottom"/>
          </w:tcPr>
          <w:p w14:paraId="656806A1" w14:textId="77777777" w:rsidR="00610B4F" w:rsidRPr="00FC14B7" w:rsidRDefault="00610B4F" w:rsidP="001A3D79">
            <w:pPr>
              <w:spacing w:line="276" w:lineRule="auto"/>
              <w:jc w:val="center"/>
              <w:rPr>
                <w:rFonts w:ascii="Times New Roman" w:eastAsiaTheme="minorEastAsia" w:hAnsi="Times New Roman"/>
                <w:b/>
                <w:bCs/>
                <w:noProof/>
                <w:sz w:val="20"/>
                <w:lang w:eastAsia="ko-KR"/>
              </w:rPr>
            </w:pPr>
            <w:r>
              <w:rPr>
                <w:rFonts w:ascii="Times New Roman" w:hAnsi="Times New Roman"/>
                <w:b/>
                <w:bCs/>
                <w:color w:val="000000"/>
                <w:sz w:val="20"/>
              </w:rPr>
              <w:t>T</w:t>
            </w:r>
            <w:r>
              <w:rPr>
                <w:rFonts w:ascii="Times New Roman" w:eastAsiaTheme="minorEastAsia" w:hAnsi="Times New Roman" w:hint="eastAsia"/>
                <w:b/>
                <w:bCs/>
                <w:color w:val="000000"/>
                <w:sz w:val="20"/>
                <w:lang w:eastAsia="ko-KR"/>
              </w:rPr>
              <w:t>L</w:t>
            </w:r>
          </w:p>
        </w:tc>
        <w:tc>
          <w:tcPr>
            <w:tcW w:w="630" w:type="dxa"/>
            <w:vMerge/>
          </w:tcPr>
          <w:p w14:paraId="62D34134" w14:textId="77777777" w:rsidR="00610B4F" w:rsidRPr="00451221" w:rsidRDefault="00610B4F" w:rsidP="001A3D79">
            <w:pPr>
              <w:jc w:val="center"/>
              <w:rPr>
                <w:rFonts w:ascii="Times New Roman" w:eastAsia="Times New Roman" w:hAnsi="Times New Roman"/>
                <w:b/>
                <w:bCs/>
                <w:color w:val="000000"/>
                <w:sz w:val="20"/>
              </w:rPr>
            </w:pPr>
          </w:p>
        </w:tc>
        <w:tc>
          <w:tcPr>
            <w:tcW w:w="540" w:type="dxa"/>
            <w:vAlign w:val="bottom"/>
          </w:tcPr>
          <w:p w14:paraId="5D794540" w14:textId="77777777" w:rsidR="00610B4F" w:rsidRPr="00002AB7" w:rsidRDefault="00610B4F" w:rsidP="001A3D79">
            <w:pPr>
              <w:spacing w:line="276" w:lineRule="auto"/>
              <w:jc w:val="center"/>
              <w:rPr>
                <w:rFonts w:ascii="Times New Roman" w:hAnsi="Times New Roman"/>
                <w:b/>
                <w:bCs/>
                <w:color w:val="000000"/>
                <w:sz w:val="20"/>
              </w:rPr>
            </w:pPr>
            <w:r>
              <w:rPr>
                <w:rFonts w:ascii="Times New Roman" w:hAnsi="Times New Roman"/>
                <w:b/>
                <w:bCs/>
                <w:color w:val="000000"/>
                <w:sz w:val="20"/>
              </w:rPr>
              <w:t>Freq.</w:t>
            </w:r>
          </w:p>
        </w:tc>
        <w:tc>
          <w:tcPr>
            <w:tcW w:w="540" w:type="dxa"/>
            <w:vAlign w:val="bottom"/>
          </w:tcPr>
          <w:p w14:paraId="10628E88" w14:textId="77777777" w:rsidR="00610B4F" w:rsidRPr="00615C17" w:rsidRDefault="00610B4F" w:rsidP="001A3D79">
            <w:pPr>
              <w:spacing w:line="276" w:lineRule="auto"/>
              <w:jc w:val="center"/>
              <w:rPr>
                <w:rFonts w:ascii="Times New Roman" w:eastAsiaTheme="minorEastAsia" w:hAnsi="Times New Roman"/>
                <w:b/>
                <w:bCs/>
                <w:noProof/>
                <w:sz w:val="20"/>
                <w:lang w:eastAsia="ko-KR"/>
              </w:rPr>
            </w:pPr>
            <w:r>
              <w:rPr>
                <w:rFonts w:ascii="Times New Roman" w:eastAsiaTheme="minorEastAsia" w:hAnsi="Times New Roman" w:hint="eastAsia"/>
                <w:b/>
                <w:bCs/>
                <w:color w:val="000000"/>
                <w:sz w:val="20"/>
                <w:lang w:eastAsia="ko-KR"/>
              </w:rPr>
              <w:t>SC</w:t>
            </w:r>
          </w:p>
        </w:tc>
        <w:tc>
          <w:tcPr>
            <w:tcW w:w="630" w:type="dxa"/>
            <w:tcBorders>
              <w:right w:val="double" w:sz="4" w:space="0" w:color="auto"/>
            </w:tcBorders>
            <w:vAlign w:val="bottom"/>
          </w:tcPr>
          <w:p w14:paraId="3002A88F" w14:textId="77777777" w:rsidR="00610B4F" w:rsidRPr="00AA5CF3" w:rsidRDefault="00610B4F" w:rsidP="001A3D79">
            <w:pPr>
              <w:spacing w:line="276" w:lineRule="auto"/>
              <w:jc w:val="center"/>
              <w:rPr>
                <w:rFonts w:ascii="Times New Roman" w:eastAsiaTheme="minorEastAsia" w:hAnsi="Times New Roman"/>
                <w:b/>
                <w:bCs/>
                <w:noProof/>
                <w:sz w:val="20"/>
                <w:lang w:eastAsia="ko-KR"/>
              </w:rPr>
            </w:pPr>
            <w:r w:rsidRPr="007A7D51">
              <w:rPr>
                <w:rFonts w:ascii="Times New Roman" w:hAnsi="Times New Roman"/>
                <w:b/>
                <w:bCs/>
                <w:color w:val="000000"/>
                <w:sz w:val="20"/>
              </w:rPr>
              <w:t>Direct</w:t>
            </w:r>
          </w:p>
        </w:tc>
      </w:tr>
      <w:tr w:rsidR="00610B4F" w14:paraId="65C36BE0" w14:textId="77777777" w:rsidTr="001A3D79">
        <w:trPr>
          <w:trHeight w:val="280"/>
        </w:trPr>
        <w:tc>
          <w:tcPr>
            <w:tcW w:w="12855" w:type="dxa"/>
            <w:gridSpan w:val="17"/>
            <w:tcBorders>
              <w:left w:val="double" w:sz="4" w:space="0" w:color="auto"/>
              <w:right w:val="double" w:sz="4" w:space="0" w:color="auto"/>
            </w:tcBorders>
          </w:tcPr>
          <w:p w14:paraId="0E2CBFB6" w14:textId="77777777" w:rsidR="00610B4F" w:rsidRPr="00AA5CF3" w:rsidRDefault="00610B4F" w:rsidP="001A3D79">
            <w:pPr>
              <w:spacing w:line="276" w:lineRule="auto"/>
              <w:jc w:val="both"/>
              <w:rPr>
                <w:rFonts w:ascii="Times New Roman" w:eastAsiaTheme="minorEastAsia" w:hAnsi="Times New Roman"/>
                <w:b/>
                <w:bCs/>
                <w:noProof/>
                <w:sz w:val="20"/>
                <w:lang w:eastAsia="ko-KR"/>
              </w:rPr>
            </w:pPr>
            <w:r>
              <w:rPr>
                <w:rFonts w:ascii="Times New Roman" w:eastAsiaTheme="minorEastAsia" w:hAnsi="Times New Roman" w:hint="eastAsia"/>
                <w:b/>
                <w:bCs/>
                <w:noProof/>
                <w:sz w:val="20"/>
                <w:lang w:eastAsia="ko-KR"/>
              </w:rPr>
              <w:t>Individual Characteristics</w:t>
            </w:r>
          </w:p>
        </w:tc>
      </w:tr>
      <w:tr w:rsidR="00610B4F" w14:paraId="6619B2A1" w14:textId="77777777" w:rsidTr="003958E9">
        <w:trPr>
          <w:trHeight w:val="267"/>
        </w:trPr>
        <w:tc>
          <w:tcPr>
            <w:tcW w:w="1425" w:type="dxa"/>
            <w:tcBorders>
              <w:left w:val="double" w:sz="4" w:space="0" w:color="auto"/>
              <w:bottom w:val="dotted" w:sz="4" w:space="0" w:color="auto"/>
              <w:right w:val="dotted" w:sz="4" w:space="0" w:color="auto"/>
            </w:tcBorders>
            <w:vAlign w:val="center"/>
          </w:tcPr>
          <w:p w14:paraId="150E6A83" w14:textId="77777777" w:rsidR="00610B4F" w:rsidRPr="00C945C7" w:rsidRDefault="00610B4F" w:rsidP="001A3D79">
            <w:pPr>
              <w:spacing w:line="276" w:lineRule="auto"/>
              <w:rPr>
                <w:rFonts w:ascii="Times New Roman" w:eastAsiaTheme="minorEastAsia" w:hAnsi="Times New Roman"/>
                <w:b/>
                <w:bCs/>
                <w:noProof/>
                <w:sz w:val="18"/>
                <w:szCs w:val="18"/>
                <w:lang w:eastAsia="ko-KR"/>
              </w:rPr>
            </w:pPr>
            <w:r w:rsidRPr="00C945C7">
              <w:rPr>
                <w:rFonts w:ascii="Times New Roman" w:eastAsia="Times New Roman" w:hAnsi="Times New Roman"/>
                <w:color w:val="000000"/>
                <w:sz w:val="18"/>
                <w:szCs w:val="18"/>
              </w:rPr>
              <w:t>Age</w:t>
            </w:r>
          </w:p>
        </w:tc>
        <w:tc>
          <w:tcPr>
            <w:tcW w:w="1350" w:type="dxa"/>
            <w:tcBorders>
              <w:left w:val="dotted" w:sz="4" w:space="0" w:color="auto"/>
              <w:bottom w:val="dotted" w:sz="4" w:space="0" w:color="auto"/>
              <w:right w:val="dotted" w:sz="4" w:space="0" w:color="auto"/>
            </w:tcBorders>
            <w:vAlign w:val="center"/>
          </w:tcPr>
          <w:p w14:paraId="6518D9E9" w14:textId="77777777" w:rsidR="00610B4F" w:rsidRPr="00C945C7" w:rsidRDefault="00610B4F" w:rsidP="001A3D79">
            <w:pPr>
              <w:spacing w:line="276" w:lineRule="auto"/>
              <w:rPr>
                <w:rFonts w:ascii="Times New Roman" w:eastAsiaTheme="minorEastAsia" w:hAnsi="Times New Roman"/>
                <w:b/>
                <w:bCs/>
                <w:noProof/>
                <w:sz w:val="18"/>
                <w:szCs w:val="18"/>
                <w:lang w:eastAsia="ko-KR"/>
              </w:rPr>
            </w:pPr>
            <w:r w:rsidRPr="00C945C7">
              <w:rPr>
                <w:rFonts w:ascii="Times New Roman" w:eastAsia="Times New Roman" w:hAnsi="Times New Roman"/>
                <w:color w:val="000000"/>
                <w:sz w:val="18"/>
                <w:szCs w:val="18"/>
              </w:rPr>
              <w:t>50-64</w:t>
            </w:r>
          </w:p>
        </w:tc>
        <w:tc>
          <w:tcPr>
            <w:tcW w:w="1530" w:type="dxa"/>
            <w:tcBorders>
              <w:left w:val="dotted" w:sz="4" w:space="0" w:color="auto"/>
              <w:bottom w:val="dotted" w:sz="4" w:space="0" w:color="auto"/>
              <w:right w:val="single" w:sz="8" w:space="0" w:color="auto"/>
            </w:tcBorders>
            <w:vAlign w:val="center"/>
          </w:tcPr>
          <w:p w14:paraId="056CB3F0" w14:textId="77777777" w:rsidR="00610B4F" w:rsidRPr="00C945C7" w:rsidRDefault="00610B4F" w:rsidP="001A3D79">
            <w:pPr>
              <w:spacing w:line="276" w:lineRule="auto"/>
              <w:rPr>
                <w:rFonts w:ascii="Times New Roman" w:eastAsiaTheme="minorEastAsia" w:hAnsi="Times New Roman"/>
                <w:b/>
                <w:bCs/>
                <w:noProof/>
                <w:sz w:val="18"/>
                <w:szCs w:val="18"/>
                <w:lang w:eastAsia="ko-KR"/>
              </w:rPr>
            </w:pPr>
            <w:r w:rsidRPr="00C945C7">
              <w:rPr>
                <w:rFonts w:ascii="Times New Roman" w:eastAsia="Times New Roman" w:hAnsi="Times New Roman"/>
                <w:color w:val="000000"/>
                <w:sz w:val="18"/>
                <w:szCs w:val="18"/>
              </w:rPr>
              <w:t>65 or more</w:t>
            </w:r>
          </w:p>
        </w:tc>
        <w:tc>
          <w:tcPr>
            <w:tcW w:w="720" w:type="dxa"/>
            <w:tcBorders>
              <w:left w:val="single" w:sz="8" w:space="0" w:color="auto"/>
              <w:bottom w:val="dotted" w:sz="4" w:space="0" w:color="auto"/>
              <w:right w:val="dotted" w:sz="4" w:space="0" w:color="auto"/>
            </w:tcBorders>
            <w:vAlign w:val="center"/>
          </w:tcPr>
          <w:p w14:paraId="363FAE11" w14:textId="77777777" w:rsidR="00610B4F" w:rsidRPr="00473548"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0.30</w:t>
            </w:r>
          </w:p>
        </w:tc>
        <w:tc>
          <w:tcPr>
            <w:tcW w:w="630" w:type="dxa"/>
            <w:tcBorders>
              <w:left w:val="dotted" w:sz="4" w:space="0" w:color="auto"/>
              <w:bottom w:val="dotted" w:sz="4" w:space="0" w:color="auto"/>
              <w:right w:val="single" w:sz="6" w:space="0" w:color="auto"/>
            </w:tcBorders>
            <w:vAlign w:val="center"/>
          </w:tcPr>
          <w:p w14:paraId="44059EA3" w14:textId="77777777" w:rsidR="00610B4F" w:rsidRPr="00473548"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0.30</w:t>
            </w:r>
          </w:p>
        </w:tc>
        <w:tc>
          <w:tcPr>
            <w:tcW w:w="630" w:type="dxa"/>
            <w:tcBorders>
              <w:left w:val="single" w:sz="6" w:space="0" w:color="auto"/>
              <w:bottom w:val="dotted" w:sz="4" w:space="0" w:color="auto"/>
              <w:right w:val="single" w:sz="8" w:space="0" w:color="auto"/>
            </w:tcBorders>
            <w:vAlign w:val="center"/>
          </w:tcPr>
          <w:p w14:paraId="26A3B29A" w14:textId="77777777" w:rsidR="00610B4F" w:rsidRPr="00691990" w:rsidRDefault="00610B4F" w:rsidP="001A3D79">
            <w:pPr>
              <w:jc w:val="right"/>
              <w:rPr>
                <w:rFonts w:ascii="Times New Roman" w:hAnsi="Times New Roman"/>
                <w:color w:val="000000"/>
                <w:sz w:val="18"/>
                <w:szCs w:val="18"/>
              </w:rPr>
            </w:pPr>
            <w:r w:rsidRPr="00691990">
              <w:rPr>
                <w:rFonts w:ascii="Times New Roman" w:hAnsi="Times New Roman" w:hint="eastAsia"/>
                <w:color w:val="000000"/>
                <w:sz w:val="18"/>
                <w:szCs w:val="18"/>
              </w:rPr>
              <w:t>0.0</w:t>
            </w:r>
          </w:p>
        </w:tc>
        <w:tc>
          <w:tcPr>
            <w:tcW w:w="623" w:type="dxa"/>
            <w:tcBorders>
              <w:left w:val="single" w:sz="8" w:space="0" w:color="auto"/>
              <w:bottom w:val="dotted" w:sz="4" w:space="0" w:color="auto"/>
              <w:right w:val="dotted" w:sz="4" w:space="0" w:color="auto"/>
            </w:tcBorders>
            <w:vAlign w:val="center"/>
          </w:tcPr>
          <w:p w14:paraId="71077A2F" w14:textId="77777777" w:rsidR="00610B4F" w:rsidRPr="00691990" w:rsidRDefault="00610B4F" w:rsidP="001A3D79">
            <w:pPr>
              <w:jc w:val="right"/>
              <w:rPr>
                <w:rFonts w:ascii="Times New Roman" w:hAnsi="Times New Roman"/>
                <w:color w:val="000000"/>
                <w:sz w:val="18"/>
                <w:szCs w:val="18"/>
              </w:rPr>
            </w:pPr>
            <w:r w:rsidRPr="00935615">
              <w:rPr>
                <w:rFonts w:ascii="Times New Roman" w:hAnsi="Times New Roman"/>
                <w:color w:val="000000"/>
                <w:sz w:val="18"/>
                <w:szCs w:val="18"/>
              </w:rPr>
              <w:t>3.77</w:t>
            </w:r>
          </w:p>
        </w:tc>
        <w:tc>
          <w:tcPr>
            <w:tcW w:w="477" w:type="dxa"/>
            <w:tcBorders>
              <w:left w:val="dotted" w:sz="4" w:space="0" w:color="auto"/>
              <w:bottom w:val="dotted" w:sz="4" w:space="0" w:color="auto"/>
            </w:tcBorders>
            <w:vAlign w:val="center"/>
          </w:tcPr>
          <w:p w14:paraId="46E75EC6" w14:textId="77777777" w:rsidR="00610B4F" w:rsidRPr="00691990" w:rsidRDefault="00610B4F" w:rsidP="001A3D79">
            <w:pPr>
              <w:jc w:val="right"/>
              <w:rPr>
                <w:rFonts w:ascii="Times New Roman" w:hAnsi="Times New Roman"/>
                <w:color w:val="000000"/>
                <w:sz w:val="18"/>
                <w:szCs w:val="18"/>
              </w:rPr>
            </w:pPr>
            <w:r w:rsidRPr="00935615">
              <w:rPr>
                <w:rFonts w:ascii="Times New Roman" w:hAnsi="Times New Roman"/>
                <w:color w:val="000000"/>
                <w:sz w:val="18"/>
                <w:szCs w:val="18"/>
              </w:rPr>
              <w:t>3.50</w:t>
            </w:r>
          </w:p>
        </w:tc>
        <w:tc>
          <w:tcPr>
            <w:tcW w:w="520" w:type="dxa"/>
            <w:tcBorders>
              <w:bottom w:val="dotted" w:sz="4" w:space="0" w:color="auto"/>
            </w:tcBorders>
            <w:vAlign w:val="center"/>
          </w:tcPr>
          <w:p w14:paraId="352BBBF4" w14:textId="77777777" w:rsidR="00610B4F" w:rsidRPr="00FB6168" w:rsidRDefault="00610B4F" w:rsidP="001A3D79">
            <w:pPr>
              <w:jc w:val="right"/>
              <w:rPr>
                <w:rFonts w:ascii="Times New Roman" w:eastAsiaTheme="minorEastAsia" w:hAnsi="Times New Roman"/>
                <w:color w:val="000000"/>
                <w:sz w:val="18"/>
                <w:szCs w:val="18"/>
                <w:lang w:eastAsia="ko-KR"/>
              </w:rPr>
            </w:pPr>
            <w:r w:rsidRPr="00935615">
              <w:rPr>
                <w:rFonts w:ascii="Times New Roman" w:hAnsi="Times New Roman"/>
                <w:color w:val="000000"/>
                <w:sz w:val="18"/>
                <w:szCs w:val="18"/>
              </w:rPr>
              <w:t>-7.</w:t>
            </w:r>
            <w:r>
              <w:rPr>
                <w:rFonts w:ascii="Times New Roman" w:eastAsiaTheme="minorEastAsia" w:hAnsi="Times New Roman" w:hint="eastAsia"/>
                <w:color w:val="000000"/>
                <w:sz w:val="18"/>
                <w:szCs w:val="18"/>
                <w:lang w:eastAsia="ko-KR"/>
              </w:rPr>
              <w:t>2</w:t>
            </w:r>
          </w:p>
        </w:tc>
        <w:tc>
          <w:tcPr>
            <w:tcW w:w="720" w:type="dxa"/>
            <w:tcBorders>
              <w:bottom w:val="dotted" w:sz="4" w:space="0" w:color="auto"/>
              <w:right w:val="dotted" w:sz="4" w:space="0" w:color="auto"/>
            </w:tcBorders>
            <w:vAlign w:val="center"/>
          </w:tcPr>
          <w:p w14:paraId="69D65A4D" w14:textId="77777777" w:rsidR="00610B4F" w:rsidRPr="00691990" w:rsidRDefault="00610B4F" w:rsidP="001A3D79">
            <w:pPr>
              <w:jc w:val="right"/>
              <w:rPr>
                <w:rFonts w:ascii="Times New Roman" w:hAnsi="Times New Roman"/>
                <w:color w:val="000000"/>
                <w:sz w:val="18"/>
                <w:szCs w:val="18"/>
              </w:rPr>
            </w:pPr>
            <w:r w:rsidRPr="00935615">
              <w:rPr>
                <w:rFonts w:ascii="Times New Roman" w:hAnsi="Times New Roman"/>
                <w:color w:val="000000"/>
                <w:sz w:val="18"/>
                <w:szCs w:val="18"/>
              </w:rPr>
              <w:t>0.0</w:t>
            </w:r>
          </w:p>
        </w:tc>
        <w:tc>
          <w:tcPr>
            <w:tcW w:w="720" w:type="dxa"/>
            <w:tcBorders>
              <w:left w:val="dotted" w:sz="4" w:space="0" w:color="auto"/>
              <w:bottom w:val="dotted" w:sz="4" w:space="0" w:color="auto"/>
              <w:right w:val="single" w:sz="8" w:space="0" w:color="auto"/>
            </w:tcBorders>
            <w:vAlign w:val="center"/>
          </w:tcPr>
          <w:p w14:paraId="5F5333EE" w14:textId="77777777" w:rsidR="00610B4F" w:rsidRPr="00691990" w:rsidRDefault="00610B4F" w:rsidP="001A3D79">
            <w:pPr>
              <w:jc w:val="right"/>
              <w:rPr>
                <w:rFonts w:ascii="Times New Roman" w:hAnsi="Times New Roman"/>
                <w:color w:val="000000"/>
                <w:sz w:val="18"/>
                <w:szCs w:val="18"/>
              </w:rPr>
            </w:pPr>
            <w:r>
              <w:rPr>
                <w:rFonts w:ascii="Times New Roman" w:eastAsiaTheme="minorEastAsia" w:hAnsi="Times New Roman" w:hint="eastAsia"/>
                <w:color w:val="000000"/>
                <w:sz w:val="18"/>
                <w:szCs w:val="18"/>
                <w:lang w:eastAsia="ko-KR"/>
              </w:rPr>
              <w:t>-</w:t>
            </w:r>
            <w:r w:rsidRPr="00935615">
              <w:rPr>
                <w:rFonts w:ascii="Times New Roman" w:hAnsi="Times New Roman"/>
                <w:color w:val="000000"/>
                <w:sz w:val="18"/>
                <w:szCs w:val="18"/>
              </w:rPr>
              <w:t>100.0</w:t>
            </w:r>
          </w:p>
        </w:tc>
        <w:tc>
          <w:tcPr>
            <w:tcW w:w="630" w:type="dxa"/>
            <w:tcBorders>
              <w:left w:val="single" w:sz="8" w:space="0" w:color="auto"/>
              <w:bottom w:val="dotted" w:sz="4" w:space="0" w:color="auto"/>
              <w:right w:val="dotted" w:sz="4" w:space="0" w:color="auto"/>
            </w:tcBorders>
            <w:vAlign w:val="center"/>
          </w:tcPr>
          <w:p w14:paraId="15FC2A40" w14:textId="77777777" w:rsidR="00610B4F" w:rsidRPr="00165ECB"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46.12</w:t>
            </w:r>
          </w:p>
        </w:tc>
        <w:tc>
          <w:tcPr>
            <w:tcW w:w="540" w:type="dxa"/>
            <w:tcBorders>
              <w:left w:val="dotted" w:sz="4" w:space="0" w:color="auto"/>
              <w:bottom w:val="dotted" w:sz="4" w:space="0" w:color="auto"/>
            </w:tcBorders>
            <w:vAlign w:val="center"/>
          </w:tcPr>
          <w:p w14:paraId="05ED853D" w14:textId="77777777" w:rsidR="00610B4F" w:rsidRPr="00165ECB"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39.22</w:t>
            </w:r>
          </w:p>
        </w:tc>
        <w:tc>
          <w:tcPr>
            <w:tcW w:w="630" w:type="dxa"/>
            <w:tcBorders>
              <w:bottom w:val="dotted" w:sz="4" w:space="0" w:color="auto"/>
            </w:tcBorders>
            <w:vAlign w:val="center"/>
          </w:tcPr>
          <w:p w14:paraId="041D1A2E" w14:textId="77777777" w:rsidR="00610B4F" w:rsidRPr="00165ECB"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-15.0</w:t>
            </w:r>
          </w:p>
        </w:tc>
        <w:tc>
          <w:tcPr>
            <w:tcW w:w="540" w:type="dxa"/>
            <w:tcBorders>
              <w:bottom w:val="dotted" w:sz="4" w:space="0" w:color="auto"/>
              <w:right w:val="dotted" w:sz="4" w:space="0" w:color="auto"/>
            </w:tcBorders>
            <w:vAlign w:val="center"/>
          </w:tcPr>
          <w:p w14:paraId="6B81FFD8" w14:textId="77777777" w:rsidR="00610B4F" w:rsidRPr="00795F28"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-8.2</w:t>
            </w:r>
          </w:p>
        </w:tc>
        <w:tc>
          <w:tcPr>
            <w:tcW w:w="540" w:type="dxa"/>
            <w:tcBorders>
              <w:left w:val="dotted" w:sz="4" w:space="0" w:color="auto"/>
              <w:bottom w:val="dotted" w:sz="4" w:space="0" w:color="auto"/>
              <w:right w:val="dotted" w:sz="4" w:space="0" w:color="auto"/>
            </w:tcBorders>
            <w:vAlign w:val="center"/>
          </w:tcPr>
          <w:p w14:paraId="7540F6F4" w14:textId="77777777" w:rsidR="00610B4F" w:rsidRPr="00795F28"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0.0</w:t>
            </w:r>
          </w:p>
        </w:tc>
        <w:tc>
          <w:tcPr>
            <w:tcW w:w="630" w:type="dxa"/>
            <w:tcBorders>
              <w:left w:val="dotted" w:sz="4" w:space="0" w:color="auto"/>
              <w:bottom w:val="dotted" w:sz="4" w:space="0" w:color="auto"/>
              <w:right w:val="double" w:sz="4" w:space="0" w:color="auto"/>
            </w:tcBorders>
            <w:vAlign w:val="center"/>
          </w:tcPr>
          <w:p w14:paraId="584EE7A6" w14:textId="77777777" w:rsidR="00610B4F" w:rsidRPr="00483BF2"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-91.8</w:t>
            </w:r>
          </w:p>
        </w:tc>
      </w:tr>
      <w:tr w:rsidR="00610B4F" w14:paraId="73713763" w14:textId="77777777" w:rsidTr="003958E9">
        <w:trPr>
          <w:trHeight w:val="280"/>
        </w:trPr>
        <w:tc>
          <w:tcPr>
            <w:tcW w:w="1425" w:type="dxa"/>
            <w:tcBorders>
              <w:top w:val="dotted" w:sz="4" w:space="0" w:color="auto"/>
              <w:left w:val="double" w:sz="4" w:space="0" w:color="auto"/>
              <w:bottom w:val="dotted" w:sz="4" w:space="0" w:color="auto"/>
              <w:right w:val="dotted" w:sz="4" w:space="0" w:color="auto"/>
            </w:tcBorders>
            <w:vAlign w:val="center"/>
          </w:tcPr>
          <w:p w14:paraId="02E6B6D7" w14:textId="77777777" w:rsidR="00610B4F" w:rsidRPr="00C945C7" w:rsidRDefault="00610B4F" w:rsidP="001A3D79">
            <w:pPr>
              <w:spacing w:line="276" w:lineRule="auto"/>
              <w:rPr>
                <w:rFonts w:ascii="Times New Roman" w:eastAsiaTheme="minorEastAsia" w:hAnsi="Times New Roman"/>
                <w:b/>
                <w:bCs/>
                <w:noProof/>
                <w:sz w:val="18"/>
                <w:szCs w:val="18"/>
                <w:lang w:eastAsia="ko-KR"/>
              </w:rPr>
            </w:pPr>
            <w:r w:rsidRPr="00C945C7">
              <w:rPr>
                <w:rFonts w:ascii="Times New Roman" w:eastAsia="Times New Roman" w:hAnsi="Times New Roman"/>
                <w:color w:val="000000"/>
                <w:sz w:val="18"/>
                <w:szCs w:val="18"/>
              </w:rPr>
              <w:t>Gender</w:t>
            </w:r>
          </w:p>
        </w:tc>
        <w:tc>
          <w:tcPr>
            <w:tcW w:w="1350" w:type="dxa"/>
            <w:tcBorders>
              <w:top w:val="dotted" w:sz="4" w:space="0" w:color="auto"/>
              <w:left w:val="dotted" w:sz="4" w:space="0" w:color="auto"/>
              <w:bottom w:val="dotted" w:sz="4" w:space="0" w:color="auto"/>
              <w:right w:val="dotted" w:sz="4" w:space="0" w:color="auto"/>
            </w:tcBorders>
            <w:vAlign w:val="center"/>
          </w:tcPr>
          <w:p w14:paraId="6800FC3E" w14:textId="77777777" w:rsidR="00610B4F" w:rsidRPr="00C945C7" w:rsidRDefault="00610B4F" w:rsidP="001A3D79">
            <w:pPr>
              <w:spacing w:line="276" w:lineRule="auto"/>
              <w:rPr>
                <w:rFonts w:ascii="Times New Roman" w:eastAsiaTheme="minorEastAsia" w:hAnsi="Times New Roman"/>
                <w:b/>
                <w:bCs/>
                <w:noProof/>
                <w:sz w:val="18"/>
                <w:szCs w:val="18"/>
                <w:lang w:eastAsia="ko-KR"/>
              </w:rPr>
            </w:pPr>
            <w:r w:rsidRPr="00C945C7">
              <w:rPr>
                <w:rFonts w:ascii="Times New Roman" w:eastAsia="Times New Roman" w:hAnsi="Times New Roman"/>
                <w:color w:val="000000"/>
                <w:sz w:val="18"/>
                <w:szCs w:val="18"/>
              </w:rPr>
              <w:t>Man</w:t>
            </w:r>
          </w:p>
        </w:tc>
        <w:tc>
          <w:tcPr>
            <w:tcW w:w="1530" w:type="dxa"/>
            <w:tcBorders>
              <w:top w:val="dotted" w:sz="4" w:space="0" w:color="auto"/>
              <w:left w:val="dotted" w:sz="4" w:space="0" w:color="auto"/>
              <w:bottom w:val="dotted" w:sz="4" w:space="0" w:color="auto"/>
              <w:right w:val="single" w:sz="8" w:space="0" w:color="auto"/>
            </w:tcBorders>
            <w:vAlign w:val="center"/>
          </w:tcPr>
          <w:p w14:paraId="08D9C1D4" w14:textId="77777777" w:rsidR="00610B4F" w:rsidRPr="00C945C7" w:rsidRDefault="00610B4F" w:rsidP="001A3D79">
            <w:pPr>
              <w:spacing w:line="276" w:lineRule="auto"/>
              <w:rPr>
                <w:rFonts w:ascii="Times New Roman" w:eastAsiaTheme="minorEastAsia" w:hAnsi="Times New Roman"/>
                <w:b/>
                <w:bCs/>
                <w:noProof/>
                <w:sz w:val="18"/>
                <w:szCs w:val="18"/>
                <w:lang w:eastAsia="ko-KR"/>
              </w:rPr>
            </w:pPr>
            <w:r w:rsidRPr="00C945C7">
              <w:rPr>
                <w:rFonts w:ascii="Times New Roman" w:eastAsia="Times New Roman" w:hAnsi="Times New Roman"/>
                <w:color w:val="000000"/>
                <w:sz w:val="18"/>
                <w:szCs w:val="18"/>
              </w:rPr>
              <w:t>Woman</w:t>
            </w:r>
          </w:p>
        </w:tc>
        <w:tc>
          <w:tcPr>
            <w:tcW w:w="720" w:type="dxa"/>
            <w:tcBorders>
              <w:top w:val="dotted" w:sz="4" w:space="0" w:color="auto"/>
              <w:left w:val="single" w:sz="8" w:space="0" w:color="auto"/>
              <w:bottom w:val="dotted" w:sz="4" w:space="0" w:color="auto"/>
              <w:right w:val="dotted" w:sz="4" w:space="0" w:color="auto"/>
            </w:tcBorders>
            <w:vAlign w:val="center"/>
          </w:tcPr>
          <w:p w14:paraId="24ED8A54" w14:textId="77777777" w:rsidR="00610B4F" w:rsidRPr="004605F8"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0.30</w:t>
            </w:r>
          </w:p>
        </w:tc>
        <w:tc>
          <w:tcPr>
            <w:tcW w:w="630" w:type="dxa"/>
            <w:tcBorders>
              <w:top w:val="dotted" w:sz="4" w:space="0" w:color="auto"/>
              <w:left w:val="dotted" w:sz="4" w:space="0" w:color="auto"/>
              <w:bottom w:val="dotted" w:sz="4" w:space="0" w:color="auto"/>
              <w:right w:val="single" w:sz="6" w:space="0" w:color="auto"/>
            </w:tcBorders>
            <w:vAlign w:val="center"/>
          </w:tcPr>
          <w:p w14:paraId="47E087B7" w14:textId="77777777" w:rsidR="00610B4F" w:rsidRPr="004605F8"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0.30</w:t>
            </w:r>
          </w:p>
        </w:tc>
        <w:tc>
          <w:tcPr>
            <w:tcW w:w="630" w:type="dxa"/>
            <w:tcBorders>
              <w:top w:val="dotted" w:sz="4" w:space="0" w:color="auto"/>
              <w:left w:val="single" w:sz="6" w:space="0" w:color="auto"/>
              <w:bottom w:val="dotted" w:sz="4" w:space="0" w:color="auto"/>
              <w:right w:val="single" w:sz="8" w:space="0" w:color="auto"/>
            </w:tcBorders>
            <w:vAlign w:val="center"/>
          </w:tcPr>
          <w:p w14:paraId="0BC35119" w14:textId="77777777" w:rsidR="00610B4F" w:rsidRPr="00691990" w:rsidRDefault="00610B4F" w:rsidP="001A3D79">
            <w:pPr>
              <w:jc w:val="right"/>
              <w:rPr>
                <w:rFonts w:ascii="Times New Roman" w:hAnsi="Times New Roman"/>
                <w:color w:val="000000"/>
                <w:sz w:val="18"/>
                <w:szCs w:val="18"/>
              </w:rPr>
            </w:pPr>
            <w:r w:rsidRPr="00691990">
              <w:rPr>
                <w:rFonts w:ascii="Times New Roman" w:hAnsi="Times New Roman" w:hint="eastAsia"/>
                <w:color w:val="000000"/>
                <w:sz w:val="18"/>
                <w:szCs w:val="18"/>
              </w:rPr>
              <w:t>0.0</w:t>
            </w:r>
          </w:p>
        </w:tc>
        <w:tc>
          <w:tcPr>
            <w:tcW w:w="623" w:type="dxa"/>
            <w:tcBorders>
              <w:top w:val="dotted" w:sz="4" w:space="0" w:color="auto"/>
              <w:left w:val="single" w:sz="8" w:space="0" w:color="auto"/>
              <w:bottom w:val="dotted" w:sz="4" w:space="0" w:color="auto"/>
              <w:right w:val="dotted" w:sz="4" w:space="0" w:color="auto"/>
            </w:tcBorders>
            <w:vAlign w:val="center"/>
          </w:tcPr>
          <w:p w14:paraId="5F0AE8D9" w14:textId="77777777" w:rsidR="00610B4F" w:rsidRPr="00691990" w:rsidRDefault="00610B4F" w:rsidP="001A3D79">
            <w:pPr>
              <w:jc w:val="right"/>
              <w:rPr>
                <w:rFonts w:ascii="Times New Roman" w:hAnsi="Times New Roman"/>
                <w:color w:val="000000"/>
                <w:sz w:val="18"/>
                <w:szCs w:val="18"/>
              </w:rPr>
            </w:pPr>
            <w:r w:rsidRPr="00935615">
              <w:rPr>
                <w:rFonts w:ascii="Times New Roman" w:hAnsi="Times New Roman"/>
                <w:color w:val="000000"/>
                <w:sz w:val="18"/>
                <w:szCs w:val="18"/>
              </w:rPr>
              <w:t>3.82</w:t>
            </w:r>
          </w:p>
        </w:tc>
        <w:tc>
          <w:tcPr>
            <w:tcW w:w="477" w:type="dxa"/>
            <w:tcBorders>
              <w:top w:val="dotted" w:sz="4" w:space="0" w:color="auto"/>
              <w:left w:val="dotted" w:sz="4" w:space="0" w:color="auto"/>
              <w:bottom w:val="dotted" w:sz="4" w:space="0" w:color="auto"/>
            </w:tcBorders>
            <w:vAlign w:val="center"/>
          </w:tcPr>
          <w:p w14:paraId="4093B296" w14:textId="77777777" w:rsidR="00610B4F" w:rsidRPr="00691990" w:rsidRDefault="00610B4F" w:rsidP="001A3D79">
            <w:pPr>
              <w:jc w:val="right"/>
              <w:rPr>
                <w:rFonts w:ascii="Times New Roman" w:hAnsi="Times New Roman"/>
                <w:color w:val="000000"/>
                <w:sz w:val="18"/>
                <w:szCs w:val="18"/>
              </w:rPr>
            </w:pPr>
            <w:r w:rsidRPr="00935615">
              <w:rPr>
                <w:rFonts w:ascii="Times New Roman" w:hAnsi="Times New Roman"/>
                <w:color w:val="000000"/>
                <w:sz w:val="18"/>
                <w:szCs w:val="18"/>
              </w:rPr>
              <w:t>3.47</w:t>
            </w:r>
          </w:p>
        </w:tc>
        <w:tc>
          <w:tcPr>
            <w:tcW w:w="520" w:type="dxa"/>
            <w:tcBorders>
              <w:top w:val="dotted" w:sz="4" w:space="0" w:color="auto"/>
              <w:bottom w:val="dotted" w:sz="4" w:space="0" w:color="auto"/>
            </w:tcBorders>
            <w:vAlign w:val="center"/>
          </w:tcPr>
          <w:p w14:paraId="7D36F197" w14:textId="77777777" w:rsidR="00610B4F" w:rsidRPr="00FB6168" w:rsidRDefault="00610B4F" w:rsidP="001A3D79">
            <w:pPr>
              <w:jc w:val="right"/>
              <w:rPr>
                <w:rFonts w:ascii="Times New Roman" w:eastAsiaTheme="minorEastAsia" w:hAnsi="Times New Roman"/>
                <w:color w:val="000000"/>
                <w:sz w:val="18"/>
                <w:szCs w:val="18"/>
                <w:lang w:eastAsia="ko-KR"/>
              </w:rPr>
            </w:pPr>
            <w:r w:rsidRPr="00935615">
              <w:rPr>
                <w:rFonts w:ascii="Times New Roman" w:hAnsi="Times New Roman"/>
                <w:color w:val="000000"/>
                <w:sz w:val="18"/>
                <w:szCs w:val="18"/>
              </w:rPr>
              <w:t>-9.</w:t>
            </w:r>
            <w:r>
              <w:rPr>
                <w:rFonts w:ascii="Times New Roman" w:eastAsiaTheme="minorEastAsia" w:hAnsi="Times New Roman" w:hint="eastAsia"/>
                <w:color w:val="000000"/>
                <w:sz w:val="18"/>
                <w:szCs w:val="18"/>
                <w:lang w:eastAsia="ko-KR"/>
              </w:rPr>
              <w:t>2</w:t>
            </w:r>
          </w:p>
        </w:tc>
        <w:tc>
          <w:tcPr>
            <w:tcW w:w="720" w:type="dxa"/>
            <w:tcBorders>
              <w:top w:val="dotted" w:sz="4" w:space="0" w:color="auto"/>
              <w:bottom w:val="dotted" w:sz="4" w:space="0" w:color="auto"/>
              <w:right w:val="dotted" w:sz="4" w:space="0" w:color="auto"/>
            </w:tcBorders>
            <w:vAlign w:val="center"/>
          </w:tcPr>
          <w:p w14:paraId="3FDF2A89" w14:textId="77777777" w:rsidR="00610B4F" w:rsidRPr="00691990" w:rsidRDefault="00610B4F" w:rsidP="001A3D79">
            <w:pPr>
              <w:jc w:val="right"/>
              <w:rPr>
                <w:rFonts w:ascii="Times New Roman" w:hAnsi="Times New Roman"/>
                <w:color w:val="000000"/>
                <w:sz w:val="18"/>
                <w:szCs w:val="18"/>
              </w:rPr>
            </w:pPr>
            <w:r w:rsidRPr="00935615">
              <w:rPr>
                <w:rFonts w:ascii="Times New Roman" w:hAnsi="Times New Roman"/>
                <w:color w:val="000000"/>
                <w:sz w:val="18"/>
                <w:szCs w:val="18"/>
              </w:rPr>
              <w:t>0.0</w:t>
            </w:r>
          </w:p>
        </w:tc>
        <w:tc>
          <w:tcPr>
            <w:tcW w:w="720" w:type="dxa"/>
            <w:tcBorders>
              <w:top w:val="dotted" w:sz="4" w:space="0" w:color="auto"/>
              <w:left w:val="dotted" w:sz="4" w:space="0" w:color="auto"/>
              <w:bottom w:val="dotted" w:sz="4" w:space="0" w:color="auto"/>
              <w:right w:val="single" w:sz="8" w:space="0" w:color="auto"/>
            </w:tcBorders>
            <w:vAlign w:val="center"/>
          </w:tcPr>
          <w:p w14:paraId="6F6FAD32" w14:textId="77777777" w:rsidR="00610B4F" w:rsidRPr="00691990" w:rsidRDefault="00610B4F" w:rsidP="001A3D79">
            <w:pPr>
              <w:jc w:val="right"/>
              <w:rPr>
                <w:rFonts w:ascii="Times New Roman" w:hAnsi="Times New Roman"/>
                <w:color w:val="000000"/>
                <w:sz w:val="18"/>
                <w:szCs w:val="18"/>
              </w:rPr>
            </w:pPr>
            <w:r>
              <w:rPr>
                <w:rFonts w:ascii="Times New Roman" w:eastAsiaTheme="minorEastAsia" w:hAnsi="Times New Roman" w:hint="eastAsia"/>
                <w:color w:val="000000"/>
                <w:sz w:val="18"/>
                <w:szCs w:val="18"/>
                <w:lang w:eastAsia="ko-KR"/>
              </w:rPr>
              <w:t>-</w:t>
            </w:r>
            <w:r w:rsidRPr="00935615">
              <w:rPr>
                <w:rFonts w:ascii="Times New Roman" w:hAnsi="Times New Roman"/>
                <w:color w:val="000000"/>
                <w:sz w:val="18"/>
                <w:szCs w:val="18"/>
              </w:rPr>
              <w:t>100.0</w:t>
            </w:r>
          </w:p>
        </w:tc>
        <w:tc>
          <w:tcPr>
            <w:tcW w:w="630" w:type="dxa"/>
            <w:tcBorders>
              <w:top w:val="dotted" w:sz="4" w:space="0" w:color="auto"/>
              <w:left w:val="single" w:sz="8" w:space="0" w:color="auto"/>
              <w:bottom w:val="dotted" w:sz="4" w:space="0" w:color="auto"/>
              <w:right w:val="dotted" w:sz="4" w:space="0" w:color="auto"/>
            </w:tcBorders>
            <w:vAlign w:val="center"/>
          </w:tcPr>
          <w:p w14:paraId="2A5458CB" w14:textId="77777777" w:rsidR="00610B4F" w:rsidRPr="007B26C7"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46.75</w:t>
            </w:r>
          </w:p>
        </w:tc>
        <w:tc>
          <w:tcPr>
            <w:tcW w:w="540" w:type="dxa"/>
            <w:tcBorders>
              <w:top w:val="dotted" w:sz="4" w:space="0" w:color="auto"/>
              <w:left w:val="dotted" w:sz="4" w:space="0" w:color="auto"/>
              <w:bottom w:val="dotted" w:sz="4" w:space="0" w:color="auto"/>
            </w:tcBorders>
            <w:vAlign w:val="center"/>
          </w:tcPr>
          <w:p w14:paraId="00DF2084" w14:textId="77777777" w:rsidR="00610B4F" w:rsidRPr="007B26C7"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39.09</w:t>
            </w:r>
          </w:p>
        </w:tc>
        <w:tc>
          <w:tcPr>
            <w:tcW w:w="630" w:type="dxa"/>
            <w:tcBorders>
              <w:top w:val="dotted" w:sz="4" w:space="0" w:color="auto"/>
              <w:bottom w:val="dotted" w:sz="4" w:space="0" w:color="auto"/>
            </w:tcBorders>
            <w:vAlign w:val="center"/>
          </w:tcPr>
          <w:p w14:paraId="0AEF2759" w14:textId="77777777" w:rsidR="00610B4F" w:rsidRPr="007B26C7"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-16.4</w:t>
            </w:r>
          </w:p>
        </w:tc>
        <w:tc>
          <w:tcPr>
            <w:tcW w:w="540" w:type="dxa"/>
            <w:tcBorders>
              <w:top w:val="dotted" w:sz="4" w:space="0" w:color="auto"/>
              <w:bottom w:val="dotted" w:sz="4" w:space="0" w:color="auto"/>
              <w:right w:val="dotted" w:sz="4" w:space="0" w:color="auto"/>
            </w:tcBorders>
            <w:vAlign w:val="center"/>
          </w:tcPr>
          <w:p w14:paraId="13C52813" w14:textId="77777777" w:rsidR="00610B4F" w:rsidRPr="00B115CC"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-11.1</w:t>
            </w:r>
          </w:p>
        </w:tc>
        <w:tc>
          <w:tcPr>
            <w:tcW w:w="540" w:type="dxa"/>
            <w:tcBorders>
              <w:top w:val="dotted" w:sz="4" w:space="0" w:color="auto"/>
              <w:left w:val="dotted" w:sz="4" w:space="0" w:color="auto"/>
              <w:bottom w:val="dotted" w:sz="4" w:space="0" w:color="auto"/>
              <w:right w:val="dotted" w:sz="4" w:space="0" w:color="auto"/>
            </w:tcBorders>
            <w:vAlign w:val="center"/>
          </w:tcPr>
          <w:p w14:paraId="0D9F1C5D" w14:textId="77777777" w:rsidR="00610B4F" w:rsidRPr="00B115CC"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0.0</w:t>
            </w:r>
          </w:p>
        </w:tc>
        <w:tc>
          <w:tcPr>
            <w:tcW w:w="630" w:type="dxa"/>
            <w:tcBorders>
              <w:top w:val="dotted" w:sz="4" w:space="0" w:color="auto"/>
              <w:left w:val="dotted" w:sz="4" w:space="0" w:color="auto"/>
              <w:bottom w:val="dotted" w:sz="4" w:space="0" w:color="auto"/>
              <w:right w:val="double" w:sz="4" w:space="0" w:color="auto"/>
            </w:tcBorders>
            <w:vAlign w:val="center"/>
          </w:tcPr>
          <w:p w14:paraId="2C0FC123" w14:textId="77777777" w:rsidR="00610B4F" w:rsidRPr="00B115CC"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-88.9</w:t>
            </w:r>
          </w:p>
        </w:tc>
      </w:tr>
      <w:tr w:rsidR="00610B4F" w14:paraId="44AFC30A" w14:textId="77777777" w:rsidTr="003958E9">
        <w:trPr>
          <w:trHeight w:val="280"/>
        </w:trPr>
        <w:tc>
          <w:tcPr>
            <w:tcW w:w="1425" w:type="dxa"/>
            <w:tcBorders>
              <w:top w:val="dotted" w:sz="4" w:space="0" w:color="auto"/>
              <w:left w:val="double" w:sz="4" w:space="0" w:color="auto"/>
              <w:bottom w:val="dotted" w:sz="4" w:space="0" w:color="auto"/>
              <w:right w:val="dotted" w:sz="4" w:space="0" w:color="auto"/>
            </w:tcBorders>
            <w:vAlign w:val="center"/>
          </w:tcPr>
          <w:p w14:paraId="5966C717" w14:textId="77777777" w:rsidR="00610B4F" w:rsidRPr="00C945C7" w:rsidRDefault="00610B4F" w:rsidP="001A3D79">
            <w:pPr>
              <w:spacing w:line="276" w:lineRule="auto"/>
              <w:rPr>
                <w:rFonts w:ascii="Times New Roman" w:eastAsia="Times New Roman" w:hAnsi="Times New Roman"/>
                <w:color w:val="000000"/>
                <w:sz w:val="18"/>
                <w:szCs w:val="18"/>
              </w:rPr>
            </w:pPr>
            <w:r w:rsidRPr="00C945C7">
              <w:rPr>
                <w:rFonts w:ascii="Times New Roman" w:eastAsia="Times New Roman" w:hAnsi="Times New Roman"/>
                <w:color w:val="000000"/>
                <w:sz w:val="18"/>
                <w:szCs w:val="18"/>
              </w:rPr>
              <w:t>Race</w:t>
            </w:r>
          </w:p>
        </w:tc>
        <w:tc>
          <w:tcPr>
            <w:tcW w:w="1350" w:type="dxa"/>
            <w:tcBorders>
              <w:top w:val="dotted" w:sz="4" w:space="0" w:color="auto"/>
              <w:left w:val="dotted" w:sz="4" w:space="0" w:color="auto"/>
              <w:bottom w:val="dotted" w:sz="4" w:space="0" w:color="auto"/>
              <w:right w:val="dotted" w:sz="4" w:space="0" w:color="auto"/>
            </w:tcBorders>
            <w:vAlign w:val="center"/>
          </w:tcPr>
          <w:p w14:paraId="56F091CC" w14:textId="77777777" w:rsidR="00610B4F" w:rsidRPr="00C945C7" w:rsidRDefault="00610B4F" w:rsidP="001A3D79">
            <w:pPr>
              <w:spacing w:line="276" w:lineRule="auto"/>
              <w:rPr>
                <w:rFonts w:ascii="Times New Roman" w:eastAsia="Times New Roman" w:hAnsi="Times New Roman"/>
                <w:color w:val="000000"/>
                <w:sz w:val="18"/>
                <w:szCs w:val="18"/>
              </w:rPr>
            </w:pPr>
            <w:r w:rsidRPr="00C945C7">
              <w:rPr>
                <w:rFonts w:ascii="Times New Roman" w:eastAsia="Times New Roman" w:hAnsi="Times New Roman"/>
                <w:color w:val="000000"/>
                <w:sz w:val="18"/>
                <w:szCs w:val="18"/>
              </w:rPr>
              <w:t>Non-black</w:t>
            </w:r>
          </w:p>
        </w:tc>
        <w:tc>
          <w:tcPr>
            <w:tcW w:w="1530" w:type="dxa"/>
            <w:tcBorders>
              <w:top w:val="dotted" w:sz="4" w:space="0" w:color="auto"/>
              <w:left w:val="dotted" w:sz="4" w:space="0" w:color="auto"/>
              <w:bottom w:val="dotted" w:sz="4" w:space="0" w:color="auto"/>
              <w:right w:val="single" w:sz="8" w:space="0" w:color="auto"/>
            </w:tcBorders>
            <w:vAlign w:val="center"/>
          </w:tcPr>
          <w:p w14:paraId="66163425" w14:textId="77777777" w:rsidR="00610B4F" w:rsidRPr="00C945C7" w:rsidRDefault="00610B4F" w:rsidP="001A3D79">
            <w:pPr>
              <w:spacing w:line="276" w:lineRule="auto"/>
              <w:rPr>
                <w:rFonts w:ascii="Times New Roman" w:eastAsia="Times New Roman" w:hAnsi="Times New Roman"/>
                <w:color w:val="000000"/>
                <w:sz w:val="18"/>
                <w:szCs w:val="18"/>
              </w:rPr>
            </w:pPr>
            <w:r w:rsidRPr="00C945C7">
              <w:rPr>
                <w:rFonts w:ascii="Times New Roman" w:eastAsia="Times New Roman" w:hAnsi="Times New Roman"/>
                <w:color w:val="000000"/>
                <w:sz w:val="18"/>
                <w:szCs w:val="18"/>
              </w:rPr>
              <w:t>black</w:t>
            </w:r>
          </w:p>
        </w:tc>
        <w:tc>
          <w:tcPr>
            <w:tcW w:w="720" w:type="dxa"/>
            <w:tcBorders>
              <w:top w:val="dotted" w:sz="4" w:space="0" w:color="auto"/>
              <w:left w:val="single" w:sz="8" w:space="0" w:color="auto"/>
              <w:bottom w:val="dotted" w:sz="4" w:space="0" w:color="auto"/>
              <w:right w:val="dotted" w:sz="4" w:space="0" w:color="auto"/>
            </w:tcBorders>
            <w:vAlign w:val="center"/>
          </w:tcPr>
          <w:p w14:paraId="7CDB6500" w14:textId="77777777" w:rsidR="00610B4F" w:rsidRPr="004605F8"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0.31</w:t>
            </w:r>
          </w:p>
        </w:tc>
        <w:tc>
          <w:tcPr>
            <w:tcW w:w="630" w:type="dxa"/>
            <w:tcBorders>
              <w:top w:val="dotted" w:sz="4" w:space="0" w:color="auto"/>
              <w:left w:val="dotted" w:sz="4" w:space="0" w:color="auto"/>
              <w:bottom w:val="dotted" w:sz="4" w:space="0" w:color="auto"/>
              <w:right w:val="single" w:sz="6" w:space="0" w:color="auto"/>
            </w:tcBorders>
            <w:vAlign w:val="center"/>
          </w:tcPr>
          <w:p w14:paraId="07BEB0FB" w14:textId="77777777" w:rsidR="00610B4F" w:rsidRPr="004605F8"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0.26</w:t>
            </w:r>
          </w:p>
        </w:tc>
        <w:tc>
          <w:tcPr>
            <w:tcW w:w="630" w:type="dxa"/>
            <w:tcBorders>
              <w:top w:val="dotted" w:sz="4" w:space="0" w:color="auto"/>
              <w:left w:val="single" w:sz="6" w:space="0" w:color="auto"/>
              <w:bottom w:val="dotted" w:sz="4" w:space="0" w:color="auto"/>
              <w:right w:val="single" w:sz="8" w:space="0" w:color="auto"/>
            </w:tcBorders>
            <w:vAlign w:val="center"/>
          </w:tcPr>
          <w:p w14:paraId="399849F3" w14:textId="77777777" w:rsidR="00610B4F" w:rsidRPr="00197A5A" w:rsidRDefault="00610B4F" w:rsidP="001A3D79">
            <w:pPr>
              <w:jc w:val="right"/>
              <w:rPr>
                <w:rFonts w:ascii="Times New Roman" w:eastAsiaTheme="minorEastAsia" w:hAnsi="Times New Roman"/>
                <w:color w:val="000000"/>
                <w:sz w:val="18"/>
                <w:szCs w:val="18"/>
                <w:lang w:eastAsia="ko-KR"/>
              </w:rPr>
            </w:pPr>
            <w:r w:rsidRPr="00691990">
              <w:rPr>
                <w:rFonts w:ascii="Times New Roman" w:hAnsi="Times New Roman" w:hint="eastAsia"/>
                <w:color w:val="000000"/>
                <w:sz w:val="18"/>
                <w:szCs w:val="18"/>
              </w:rPr>
              <w:t>-</w:t>
            </w:r>
            <w:r>
              <w:rPr>
                <w:rFonts w:ascii="Times New Roman" w:eastAsiaTheme="minorEastAsia" w:hAnsi="Times New Roman" w:hint="eastAsia"/>
                <w:color w:val="000000"/>
                <w:sz w:val="18"/>
                <w:szCs w:val="18"/>
                <w:lang w:eastAsia="ko-KR"/>
              </w:rPr>
              <w:t>16.1</w:t>
            </w:r>
          </w:p>
        </w:tc>
        <w:tc>
          <w:tcPr>
            <w:tcW w:w="623" w:type="dxa"/>
            <w:tcBorders>
              <w:top w:val="dotted" w:sz="4" w:space="0" w:color="auto"/>
              <w:left w:val="single" w:sz="8" w:space="0" w:color="auto"/>
              <w:bottom w:val="dotted" w:sz="4" w:space="0" w:color="auto"/>
              <w:right w:val="dotted" w:sz="4" w:space="0" w:color="auto"/>
            </w:tcBorders>
            <w:vAlign w:val="center"/>
          </w:tcPr>
          <w:p w14:paraId="2259D508" w14:textId="77777777" w:rsidR="00610B4F" w:rsidRPr="00935615" w:rsidRDefault="00610B4F" w:rsidP="001A3D79">
            <w:pPr>
              <w:jc w:val="right"/>
              <w:rPr>
                <w:rFonts w:ascii="Times New Roman" w:hAnsi="Times New Roman"/>
                <w:color w:val="000000"/>
                <w:sz w:val="18"/>
                <w:szCs w:val="18"/>
              </w:rPr>
            </w:pPr>
            <w:r w:rsidRPr="00935615">
              <w:rPr>
                <w:rFonts w:ascii="Times New Roman" w:hAnsi="Times New Roman"/>
                <w:color w:val="000000"/>
                <w:sz w:val="18"/>
                <w:szCs w:val="18"/>
              </w:rPr>
              <w:t>3.69</w:t>
            </w:r>
          </w:p>
        </w:tc>
        <w:tc>
          <w:tcPr>
            <w:tcW w:w="477" w:type="dxa"/>
            <w:tcBorders>
              <w:top w:val="dotted" w:sz="4" w:space="0" w:color="auto"/>
              <w:left w:val="dotted" w:sz="4" w:space="0" w:color="auto"/>
              <w:bottom w:val="dotted" w:sz="4" w:space="0" w:color="auto"/>
            </w:tcBorders>
            <w:vAlign w:val="center"/>
          </w:tcPr>
          <w:p w14:paraId="6B4E6101" w14:textId="77777777" w:rsidR="00610B4F" w:rsidRPr="00935615" w:rsidRDefault="00610B4F" w:rsidP="001A3D79">
            <w:pPr>
              <w:jc w:val="right"/>
              <w:rPr>
                <w:rFonts w:ascii="Times New Roman" w:hAnsi="Times New Roman"/>
                <w:color w:val="000000"/>
                <w:sz w:val="18"/>
                <w:szCs w:val="18"/>
              </w:rPr>
            </w:pPr>
            <w:r w:rsidRPr="00935615">
              <w:rPr>
                <w:rFonts w:ascii="Times New Roman" w:hAnsi="Times New Roman"/>
                <w:color w:val="000000"/>
                <w:sz w:val="18"/>
                <w:szCs w:val="18"/>
              </w:rPr>
              <w:t>3.52</w:t>
            </w:r>
          </w:p>
        </w:tc>
        <w:tc>
          <w:tcPr>
            <w:tcW w:w="520" w:type="dxa"/>
            <w:tcBorders>
              <w:top w:val="dotted" w:sz="4" w:space="0" w:color="auto"/>
              <w:bottom w:val="dotted" w:sz="4" w:space="0" w:color="auto"/>
            </w:tcBorders>
            <w:vAlign w:val="center"/>
          </w:tcPr>
          <w:p w14:paraId="38EC600B" w14:textId="77777777" w:rsidR="00610B4F" w:rsidRPr="00FB6168" w:rsidRDefault="00610B4F" w:rsidP="001A3D79">
            <w:pPr>
              <w:jc w:val="right"/>
              <w:rPr>
                <w:rFonts w:ascii="Times New Roman" w:eastAsiaTheme="minorEastAsia" w:hAnsi="Times New Roman"/>
                <w:color w:val="000000"/>
                <w:sz w:val="18"/>
                <w:szCs w:val="18"/>
                <w:lang w:eastAsia="ko-KR"/>
              </w:rPr>
            </w:pPr>
            <w:r w:rsidRPr="00935615">
              <w:rPr>
                <w:rFonts w:ascii="Times New Roman" w:hAnsi="Times New Roman"/>
                <w:color w:val="000000"/>
                <w:sz w:val="18"/>
                <w:szCs w:val="18"/>
              </w:rPr>
              <w:t>-4.</w:t>
            </w:r>
            <w:r>
              <w:rPr>
                <w:rFonts w:ascii="Times New Roman" w:eastAsiaTheme="minorEastAsia" w:hAnsi="Times New Roman" w:hint="eastAsia"/>
                <w:color w:val="000000"/>
                <w:sz w:val="18"/>
                <w:szCs w:val="18"/>
                <w:lang w:eastAsia="ko-KR"/>
              </w:rPr>
              <w:t>6</w:t>
            </w:r>
          </w:p>
        </w:tc>
        <w:tc>
          <w:tcPr>
            <w:tcW w:w="720" w:type="dxa"/>
            <w:tcBorders>
              <w:top w:val="dotted" w:sz="4" w:space="0" w:color="auto"/>
              <w:bottom w:val="dotted" w:sz="4" w:space="0" w:color="auto"/>
              <w:right w:val="dotted" w:sz="4" w:space="0" w:color="auto"/>
            </w:tcBorders>
            <w:vAlign w:val="center"/>
          </w:tcPr>
          <w:p w14:paraId="5F2D696D" w14:textId="77777777" w:rsidR="00610B4F" w:rsidRPr="00935615" w:rsidRDefault="00610B4F" w:rsidP="001A3D79">
            <w:pPr>
              <w:jc w:val="right"/>
              <w:rPr>
                <w:rFonts w:ascii="Times New Roman" w:hAnsi="Times New Roman"/>
                <w:color w:val="000000"/>
                <w:sz w:val="18"/>
                <w:szCs w:val="18"/>
              </w:rPr>
            </w:pPr>
            <w:r>
              <w:rPr>
                <w:rFonts w:ascii="Times New Roman" w:eastAsiaTheme="minorEastAsia" w:hAnsi="Times New Roman" w:hint="eastAsia"/>
                <w:color w:val="000000"/>
                <w:sz w:val="18"/>
                <w:szCs w:val="18"/>
                <w:lang w:eastAsia="ko-KR"/>
              </w:rPr>
              <w:t>-</w:t>
            </w:r>
            <w:r w:rsidRPr="00935615">
              <w:rPr>
                <w:rFonts w:ascii="Times New Roman" w:hAnsi="Times New Roman"/>
                <w:color w:val="000000"/>
                <w:sz w:val="18"/>
                <w:szCs w:val="18"/>
              </w:rPr>
              <w:t>100.0</w:t>
            </w:r>
          </w:p>
        </w:tc>
        <w:tc>
          <w:tcPr>
            <w:tcW w:w="720" w:type="dxa"/>
            <w:tcBorders>
              <w:top w:val="dotted" w:sz="4" w:space="0" w:color="auto"/>
              <w:left w:val="dotted" w:sz="4" w:space="0" w:color="auto"/>
              <w:bottom w:val="dotted" w:sz="4" w:space="0" w:color="auto"/>
              <w:right w:val="single" w:sz="8" w:space="0" w:color="auto"/>
            </w:tcBorders>
            <w:vAlign w:val="center"/>
          </w:tcPr>
          <w:p w14:paraId="6C3255DC" w14:textId="77777777" w:rsidR="00610B4F" w:rsidRDefault="00610B4F" w:rsidP="001A3D79">
            <w:pPr>
              <w:jc w:val="right"/>
              <w:rPr>
                <w:rFonts w:ascii="Times New Roman" w:eastAsiaTheme="minorEastAsia" w:hAnsi="Times New Roman"/>
                <w:color w:val="000000"/>
                <w:sz w:val="18"/>
                <w:szCs w:val="18"/>
                <w:lang w:eastAsia="ko-KR"/>
              </w:rPr>
            </w:pPr>
            <w:r w:rsidRPr="00935615">
              <w:rPr>
                <w:rFonts w:ascii="Times New Roman" w:hAnsi="Times New Roman"/>
                <w:color w:val="000000"/>
                <w:sz w:val="18"/>
                <w:szCs w:val="18"/>
              </w:rPr>
              <w:t>0.0</w:t>
            </w:r>
          </w:p>
        </w:tc>
        <w:tc>
          <w:tcPr>
            <w:tcW w:w="630" w:type="dxa"/>
            <w:tcBorders>
              <w:top w:val="dotted" w:sz="4" w:space="0" w:color="auto"/>
              <w:left w:val="single" w:sz="8" w:space="0" w:color="auto"/>
              <w:bottom w:val="dotted" w:sz="4" w:space="0" w:color="auto"/>
              <w:right w:val="dotted" w:sz="4" w:space="0" w:color="auto"/>
            </w:tcBorders>
            <w:vAlign w:val="center"/>
          </w:tcPr>
          <w:p w14:paraId="6214BBE7" w14:textId="77777777" w:rsidR="00610B4F" w:rsidRPr="00FF2302"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43.91</w:t>
            </w:r>
          </w:p>
        </w:tc>
        <w:tc>
          <w:tcPr>
            <w:tcW w:w="540" w:type="dxa"/>
            <w:tcBorders>
              <w:top w:val="dotted" w:sz="4" w:space="0" w:color="auto"/>
              <w:left w:val="dotted" w:sz="4" w:space="0" w:color="auto"/>
              <w:bottom w:val="dotted" w:sz="4" w:space="0" w:color="auto"/>
            </w:tcBorders>
            <w:vAlign w:val="center"/>
          </w:tcPr>
          <w:p w14:paraId="507964CF" w14:textId="77777777" w:rsidR="00610B4F" w:rsidRPr="00FF2302"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40.16</w:t>
            </w:r>
          </w:p>
        </w:tc>
        <w:tc>
          <w:tcPr>
            <w:tcW w:w="630" w:type="dxa"/>
            <w:tcBorders>
              <w:top w:val="dotted" w:sz="4" w:space="0" w:color="auto"/>
              <w:bottom w:val="dotted" w:sz="4" w:space="0" w:color="auto"/>
            </w:tcBorders>
            <w:vAlign w:val="center"/>
          </w:tcPr>
          <w:p w14:paraId="5C1D3582" w14:textId="77777777" w:rsidR="00610B4F" w:rsidRPr="00FF2302"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-8.5</w:t>
            </w:r>
          </w:p>
        </w:tc>
        <w:tc>
          <w:tcPr>
            <w:tcW w:w="540" w:type="dxa"/>
            <w:tcBorders>
              <w:top w:val="dotted" w:sz="4" w:space="0" w:color="auto"/>
              <w:bottom w:val="dotted" w:sz="4" w:space="0" w:color="auto"/>
              <w:right w:val="dotted" w:sz="4" w:space="0" w:color="auto"/>
            </w:tcBorders>
            <w:vAlign w:val="center"/>
          </w:tcPr>
          <w:p w14:paraId="679AB409" w14:textId="77777777" w:rsidR="00610B4F" w:rsidRPr="00935615" w:rsidRDefault="00610B4F" w:rsidP="001A3D79">
            <w:pPr>
              <w:jc w:val="right"/>
              <w:rPr>
                <w:rFonts w:ascii="Times New Roman" w:hAnsi="Times New Roman"/>
                <w:color w:val="000000"/>
                <w:sz w:val="18"/>
                <w:szCs w:val="18"/>
              </w:rPr>
            </w:pPr>
            <w:r w:rsidRPr="00935615">
              <w:rPr>
                <w:rFonts w:ascii="Times New Roman" w:hAnsi="Times New Roman"/>
                <w:color w:val="000000"/>
                <w:sz w:val="18"/>
                <w:szCs w:val="18"/>
              </w:rPr>
              <w:t>0.0</w:t>
            </w:r>
          </w:p>
        </w:tc>
        <w:tc>
          <w:tcPr>
            <w:tcW w:w="540" w:type="dxa"/>
            <w:tcBorders>
              <w:top w:val="dotted" w:sz="4" w:space="0" w:color="auto"/>
              <w:left w:val="dotted" w:sz="4" w:space="0" w:color="auto"/>
              <w:bottom w:val="dotted" w:sz="4" w:space="0" w:color="auto"/>
              <w:right w:val="dotted" w:sz="4" w:space="0" w:color="auto"/>
            </w:tcBorders>
            <w:vAlign w:val="center"/>
          </w:tcPr>
          <w:p w14:paraId="34F9A81E" w14:textId="77777777" w:rsidR="00610B4F" w:rsidRPr="00935615" w:rsidRDefault="00610B4F" w:rsidP="001A3D79">
            <w:pPr>
              <w:jc w:val="right"/>
              <w:rPr>
                <w:rFonts w:ascii="Times New Roman" w:hAnsi="Times New Roman"/>
                <w:color w:val="000000"/>
                <w:sz w:val="18"/>
                <w:szCs w:val="18"/>
              </w:rPr>
            </w:pPr>
            <w:r>
              <w:rPr>
                <w:rFonts w:ascii="Times New Roman" w:eastAsiaTheme="minorEastAsia" w:hAnsi="Times New Roman" w:hint="eastAsia"/>
                <w:color w:val="000000"/>
                <w:sz w:val="18"/>
                <w:szCs w:val="18"/>
                <w:lang w:eastAsia="ko-KR"/>
              </w:rPr>
              <w:t>-</w:t>
            </w:r>
            <w:r w:rsidRPr="00935615">
              <w:rPr>
                <w:rFonts w:ascii="Times New Roman" w:hAnsi="Times New Roman"/>
                <w:color w:val="000000"/>
                <w:sz w:val="18"/>
                <w:szCs w:val="18"/>
              </w:rPr>
              <w:t>100.0</w:t>
            </w:r>
          </w:p>
        </w:tc>
        <w:tc>
          <w:tcPr>
            <w:tcW w:w="630" w:type="dxa"/>
            <w:tcBorders>
              <w:top w:val="dotted" w:sz="4" w:space="0" w:color="auto"/>
              <w:left w:val="dotted" w:sz="4" w:space="0" w:color="auto"/>
              <w:bottom w:val="dotted" w:sz="4" w:space="0" w:color="auto"/>
              <w:right w:val="double" w:sz="4" w:space="0" w:color="auto"/>
            </w:tcBorders>
            <w:vAlign w:val="center"/>
          </w:tcPr>
          <w:p w14:paraId="68B3617C" w14:textId="77777777" w:rsidR="00610B4F" w:rsidRPr="00935615" w:rsidRDefault="00610B4F" w:rsidP="001A3D79">
            <w:pPr>
              <w:jc w:val="right"/>
              <w:rPr>
                <w:rFonts w:ascii="Times New Roman" w:hAnsi="Times New Roman"/>
                <w:color w:val="000000"/>
                <w:sz w:val="18"/>
                <w:szCs w:val="18"/>
              </w:rPr>
            </w:pPr>
            <w:r w:rsidRPr="00935615">
              <w:rPr>
                <w:rFonts w:ascii="Times New Roman" w:hAnsi="Times New Roman"/>
                <w:color w:val="000000"/>
                <w:sz w:val="18"/>
                <w:szCs w:val="18"/>
              </w:rPr>
              <w:t>0.0</w:t>
            </w:r>
          </w:p>
        </w:tc>
      </w:tr>
      <w:tr w:rsidR="00610B4F" w14:paraId="732FD4F4" w14:textId="77777777" w:rsidTr="003958E9">
        <w:trPr>
          <w:trHeight w:val="561"/>
        </w:trPr>
        <w:tc>
          <w:tcPr>
            <w:tcW w:w="1425" w:type="dxa"/>
            <w:tcBorders>
              <w:top w:val="dotted" w:sz="4" w:space="0" w:color="auto"/>
              <w:left w:val="double" w:sz="4" w:space="0" w:color="auto"/>
              <w:right w:val="dotted" w:sz="4" w:space="0" w:color="auto"/>
            </w:tcBorders>
            <w:vAlign w:val="center"/>
          </w:tcPr>
          <w:p w14:paraId="25DA2D2D" w14:textId="77777777" w:rsidR="00610B4F" w:rsidRPr="00C945C7" w:rsidRDefault="00610B4F" w:rsidP="001A3D79">
            <w:pPr>
              <w:spacing w:line="276" w:lineRule="auto"/>
              <w:rPr>
                <w:rFonts w:ascii="Times New Roman" w:eastAsiaTheme="minorEastAsia" w:hAnsi="Times New Roman"/>
                <w:b/>
                <w:bCs/>
                <w:noProof/>
                <w:sz w:val="18"/>
                <w:szCs w:val="18"/>
                <w:lang w:eastAsia="ko-KR"/>
              </w:rPr>
            </w:pPr>
            <w:r w:rsidRPr="00C945C7">
              <w:rPr>
                <w:rFonts w:ascii="Times New Roman" w:eastAsia="Times New Roman" w:hAnsi="Times New Roman"/>
                <w:color w:val="000000"/>
                <w:sz w:val="18"/>
                <w:szCs w:val="18"/>
              </w:rPr>
              <w:t>Employment status</w:t>
            </w:r>
          </w:p>
        </w:tc>
        <w:tc>
          <w:tcPr>
            <w:tcW w:w="1350" w:type="dxa"/>
            <w:tcBorders>
              <w:top w:val="dotted" w:sz="4" w:space="0" w:color="auto"/>
              <w:left w:val="dotted" w:sz="4" w:space="0" w:color="auto"/>
              <w:right w:val="dotted" w:sz="4" w:space="0" w:color="auto"/>
            </w:tcBorders>
            <w:vAlign w:val="center"/>
          </w:tcPr>
          <w:p w14:paraId="3E03E952" w14:textId="77777777" w:rsidR="00610B4F" w:rsidRPr="00C945C7" w:rsidRDefault="00610B4F" w:rsidP="001A3D79">
            <w:pPr>
              <w:spacing w:line="276" w:lineRule="auto"/>
              <w:rPr>
                <w:rFonts w:ascii="Times New Roman" w:eastAsiaTheme="minorEastAsia" w:hAnsi="Times New Roman"/>
                <w:b/>
                <w:bCs/>
                <w:noProof/>
                <w:sz w:val="18"/>
                <w:szCs w:val="18"/>
                <w:lang w:eastAsia="ko-KR"/>
              </w:rPr>
            </w:pPr>
            <w:r w:rsidRPr="00C945C7">
              <w:rPr>
                <w:rFonts w:ascii="Times New Roman" w:eastAsia="Times New Roman" w:hAnsi="Times New Roman"/>
                <w:color w:val="000000"/>
                <w:sz w:val="18"/>
                <w:szCs w:val="18"/>
              </w:rPr>
              <w:t>Retired or not employed</w:t>
            </w:r>
          </w:p>
        </w:tc>
        <w:tc>
          <w:tcPr>
            <w:tcW w:w="1530" w:type="dxa"/>
            <w:tcBorders>
              <w:top w:val="dotted" w:sz="4" w:space="0" w:color="auto"/>
              <w:left w:val="dotted" w:sz="4" w:space="0" w:color="auto"/>
              <w:right w:val="single" w:sz="8" w:space="0" w:color="auto"/>
            </w:tcBorders>
            <w:vAlign w:val="center"/>
          </w:tcPr>
          <w:p w14:paraId="371ABDB0" w14:textId="77777777" w:rsidR="00610B4F" w:rsidRPr="00C945C7" w:rsidRDefault="00610B4F" w:rsidP="001A3D79">
            <w:pPr>
              <w:spacing w:line="276" w:lineRule="auto"/>
              <w:rPr>
                <w:rFonts w:ascii="Times New Roman" w:eastAsiaTheme="minorEastAsia" w:hAnsi="Times New Roman"/>
                <w:b/>
                <w:bCs/>
                <w:noProof/>
                <w:sz w:val="18"/>
                <w:szCs w:val="18"/>
                <w:lang w:eastAsia="ko-KR"/>
              </w:rPr>
            </w:pPr>
            <w:r w:rsidRPr="00C945C7">
              <w:rPr>
                <w:rFonts w:ascii="Times New Roman" w:eastAsia="Times New Roman" w:hAnsi="Times New Roman"/>
                <w:color w:val="000000"/>
                <w:sz w:val="18"/>
                <w:szCs w:val="18"/>
              </w:rPr>
              <w:t>Employed</w:t>
            </w:r>
          </w:p>
        </w:tc>
        <w:tc>
          <w:tcPr>
            <w:tcW w:w="720" w:type="dxa"/>
            <w:tcBorders>
              <w:top w:val="dotted" w:sz="4" w:space="0" w:color="auto"/>
              <w:left w:val="single" w:sz="8" w:space="0" w:color="auto"/>
              <w:right w:val="dotted" w:sz="4" w:space="0" w:color="auto"/>
            </w:tcBorders>
            <w:vAlign w:val="center"/>
          </w:tcPr>
          <w:p w14:paraId="17EBED0B" w14:textId="77777777" w:rsidR="00610B4F" w:rsidRPr="004605F8"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0.33</w:t>
            </w:r>
          </w:p>
        </w:tc>
        <w:tc>
          <w:tcPr>
            <w:tcW w:w="630" w:type="dxa"/>
            <w:tcBorders>
              <w:top w:val="dotted" w:sz="4" w:space="0" w:color="auto"/>
              <w:left w:val="dotted" w:sz="4" w:space="0" w:color="auto"/>
              <w:right w:val="single" w:sz="6" w:space="0" w:color="auto"/>
            </w:tcBorders>
            <w:vAlign w:val="center"/>
          </w:tcPr>
          <w:p w14:paraId="50F18C3F" w14:textId="77777777" w:rsidR="00610B4F" w:rsidRPr="004605F8"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0.27</w:t>
            </w:r>
          </w:p>
        </w:tc>
        <w:tc>
          <w:tcPr>
            <w:tcW w:w="630" w:type="dxa"/>
            <w:tcBorders>
              <w:top w:val="dotted" w:sz="4" w:space="0" w:color="auto"/>
              <w:left w:val="single" w:sz="6" w:space="0" w:color="auto"/>
              <w:right w:val="single" w:sz="8" w:space="0" w:color="auto"/>
            </w:tcBorders>
            <w:vAlign w:val="center"/>
          </w:tcPr>
          <w:p w14:paraId="5D9E3124" w14:textId="77777777" w:rsidR="00610B4F" w:rsidRPr="00197A5A"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-18.2</w:t>
            </w:r>
          </w:p>
        </w:tc>
        <w:tc>
          <w:tcPr>
            <w:tcW w:w="623" w:type="dxa"/>
            <w:tcBorders>
              <w:top w:val="dotted" w:sz="4" w:space="0" w:color="auto"/>
              <w:left w:val="single" w:sz="8" w:space="0" w:color="auto"/>
              <w:right w:val="dotted" w:sz="4" w:space="0" w:color="auto"/>
            </w:tcBorders>
            <w:vAlign w:val="center"/>
          </w:tcPr>
          <w:p w14:paraId="18D00D45" w14:textId="77777777" w:rsidR="00610B4F" w:rsidRPr="00691990" w:rsidRDefault="00610B4F" w:rsidP="001A3D79">
            <w:pPr>
              <w:jc w:val="right"/>
              <w:rPr>
                <w:rFonts w:ascii="Times New Roman" w:hAnsi="Times New Roman"/>
                <w:color w:val="000000"/>
                <w:sz w:val="18"/>
                <w:szCs w:val="18"/>
              </w:rPr>
            </w:pPr>
            <w:r w:rsidRPr="00935615">
              <w:rPr>
                <w:rFonts w:ascii="Times New Roman" w:hAnsi="Times New Roman"/>
                <w:color w:val="000000"/>
                <w:sz w:val="18"/>
                <w:szCs w:val="18"/>
              </w:rPr>
              <w:t>3.58</w:t>
            </w:r>
          </w:p>
        </w:tc>
        <w:tc>
          <w:tcPr>
            <w:tcW w:w="477" w:type="dxa"/>
            <w:tcBorders>
              <w:top w:val="dotted" w:sz="4" w:space="0" w:color="auto"/>
              <w:left w:val="dotted" w:sz="4" w:space="0" w:color="auto"/>
            </w:tcBorders>
            <w:vAlign w:val="center"/>
          </w:tcPr>
          <w:p w14:paraId="0099C5B8" w14:textId="77777777" w:rsidR="00610B4F" w:rsidRPr="00691990" w:rsidRDefault="00610B4F" w:rsidP="001A3D79">
            <w:pPr>
              <w:jc w:val="right"/>
              <w:rPr>
                <w:rFonts w:ascii="Times New Roman" w:hAnsi="Times New Roman"/>
                <w:color w:val="000000"/>
                <w:sz w:val="18"/>
                <w:szCs w:val="18"/>
              </w:rPr>
            </w:pPr>
            <w:r w:rsidRPr="00935615">
              <w:rPr>
                <w:rFonts w:ascii="Times New Roman" w:hAnsi="Times New Roman"/>
                <w:color w:val="000000"/>
                <w:sz w:val="18"/>
                <w:szCs w:val="18"/>
              </w:rPr>
              <w:t>3.73</w:t>
            </w:r>
          </w:p>
        </w:tc>
        <w:tc>
          <w:tcPr>
            <w:tcW w:w="520" w:type="dxa"/>
            <w:tcBorders>
              <w:top w:val="dotted" w:sz="4" w:space="0" w:color="auto"/>
            </w:tcBorders>
            <w:vAlign w:val="center"/>
          </w:tcPr>
          <w:p w14:paraId="2642D96B" w14:textId="77777777" w:rsidR="00610B4F" w:rsidRPr="00FB6168" w:rsidRDefault="00610B4F" w:rsidP="001A3D79">
            <w:pPr>
              <w:jc w:val="right"/>
              <w:rPr>
                <w:rFonts w:ascii="Times New Roman" w:eastAsiaTheme="minorEastAsia" w:hAnsi="Times New Roman"/>
                <w:color w:val="000000"/>
                <w:sz w:val="18"/>
                <w:szCs w:val="18"/>
                <w:lang w:eastAsia="ko-KR"/>
              </w:rPr>
            </w:pPr>
            <w:r w:rsidRPr="00935615">
              <w:rPr>
                <w:rFonts w:ascii="Times New Roman" w:hAnsi="Times New Roman"/>
                <w:color w:val="000000"/>
                <w:sz w:val="18"/>
                <w:szCs w:val="18"/>
              </w:rPr>
              <w:t>4.</w:t>
            </w:r>
            <w:r>
              <w:rPr>
                <w:rFonts w:ascii="Times New Roman" w:eastAsiaTheme="minorEastAsia" w:hAnsi="Times New Roman" w:hint="eastAsia"/>
                <w:color w:val="000000"/>
                <w:sz w:val="18"/>
                <w:szCs w:val="18"/>
                <w:lang w:eastAsia="ko-KR"/>
              </w:rPr>
              <w:t>2</w:t>
            </w:r>
          </w:p>
        </w:tc>
        <w:tc>
          <w:tcPr>
            <w:tcW w:w="720" w:type="dxa"/>
            <w:tcBorders>
              <w:top w:val="dotted" w:sz="4" w:space="0" w:color="auto"/>
              <w:right w:val="dotted" w:sz="4" w:space="0" w:color="auto"/>
            </w:tcBorders>
            <w:vAlign w:val="center"/>
          </w:tcPr>
          <w:p w14:paraId="6D9BB2D7" w14:textId="77777777" w:rsidR="00610B4F" w:rsidRPr="00691990" w:rsidRDefault="00610B4F" w:rsidP="001A3D79">
            <w:pPr>
              <w:jc w:val="right"/>
              <w:rPr>
                <w:rFonts w:ascii="Times New Roman" w:hAnsi="Times New Roman"/>
                <w:color w:val="000000"/>
                <w:sz w:val="18"/>
                <w:szCs w:val="18"/>
              </w:rPr>
            </w:pPr>
            <w:r>
              <w:rPr>
                <w:rFonts w:ascii="Times New Roman" w:eastAsiaTheme="minorEastAsia" w:hAnsi="Times New Roman" w:hint="eastAsia"/>
                <w:color w:val="000000"/>
                <w:sz w:val="18"/>
                <w:szCs w:val="18"/>
                <w:lang w:eastAsia="ko-KR"/>
              </w:rPr>
              <w:t>-</w:t>
            </w:r>
            <w:r w:rsidRPr="00935615">
              <w:rPr>
                <w:rFonts w:ascii="Times New Roman" w:hAnsi="Times New Roman"/>
                <w:color w:val="000000"/>
                <w:sz w:val="18"/>
                <w:szCs w:val="18"/>
              </w:rPr>
              <w:t>34.5</w:t>
            </w:r>
          </w:p>
        </w:tc>
        <w:tc>
          <w:tcPr>
            <w:tcW w:w="720" w:type="dxa"/>
            <w:tcBorders>
              <w:top w:val="dotted" w:sz="4" w:space="0" w:color="auto"/>
              <w:left w:val="dotted" w:sz="4" w:space="0" w:color="auto"/>
              <w:right w:val="single" w:sz="8" w:space="0" w:color="auto"/>
            </w:tcBorders>
            <w:vAlign w:val="center"/>
          </w:tcPr>
          <w:p w14:paraId="0928C6B3" w14:textId="77777777" w:rsidR="00610B4F" w:rsidRPr="00691990" w:rsidRDefault="00610B4F" w:rsidP="001A3D79">
            <w:pPr>
              <w:jc w:val="right"/>
              <w:rPr>
                <w:rFonts w:ascii="Times New Roman" w:hAnsi="Times New Roman"/>
                <w:color w:val="000000"/>
                <w:sz w:val="18"/>
                <w:szCs w:val="18"/>
              </w:rPr>
            </w:pPr>
            <w:r>
              <w:rPr>
                <w:rFonts w:ascii="Times New Roman" w:eastAsiaTheme="minorEastAsia" w:hAnsi="Times New Roman" w:hint="eastAsia"/>
                <w:color w:val="000000"/>
                <w:sz w:val="18"/>
                <w:szCs w:val="18"/>
                <w:lang w:eastAsia="ko-KR"/>
              </w:rPr>
              <w:t>+</w:t>
            </w:r>
            <w:r w:rsidRPr="00935615">
              <w:rPr>
                <w:rFonts w:ascii="Times New Roman" w:hAnsi="Times New Roman"/>
                <w:color w:val="000000"/>
                <w:sz w:val="18"/>
                <w:szCs w:val="18"/>
              </w:rPr>
              <w:t>65.5</w:t>
            </w:r>
          </w:p>
        </w:tc>
        <w:tc>
          <w:tcPr>
            <w:tcW w:w="630" w:type="dxa"/>
            <w:tcBorders>
              <w:top w:val="dotted" w:sz="4" w:space="0" w:color="auto"/>
              <w:left w:val="single" w:sz="8" w:space="0" w:color="auto"/>
              <w:right w:val="dotted" w:sz="4" w:space="0" w:color="auto"/>
            </w:tcBorders>
            <w:vAlign w:val="center"/>
          </w:tcPr>
          <w:p w14:paraId="7C5B8223" w14:textId="77777777" w:rsidR="00610B4F" w:rsidRPr="00382B87"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44.43</w:t>
            </w:r>
          </w:p>
        </w:tc>
        <w:tc>
          <w:tcPr>
            <w:tcW w:w="540" w:type="dxa"/>
            <w:tcBorders>
              <w:top w:val="dotted" w:sz="4" w:space="0" w:color="auto"/>
              <w:left w:val="dotted" w:sz="4" w:space="0" w:color="auto"/>
            </w:tcBorders>
            <w:vAlign w:val="center"/>
          </w:tcPr>
          <w:p w14:paraId="5D9C72FF" w14:textId="77777777" w:rsidR="00610B4F" w:rsidRPr="00691990" w:rsidRDefault="00610B4F" w:rsidP="001A3D79">
            <w:pPr>
              <w:jc w:val="right"/>
              <w:rPr>
                <w:rFonts w:ascii="Times New Roman" w:hAnsi="Times New Roman"/>
                <w:color w:val="000000"/>
                <w:sz w:val="18"/>
                <w:szCs w:val="18"/>
              </w:rPr>
            </w:pPr>
            <w:r>
              <w:rPr>
                <w:rFonts w:ascii="Times New Roman" w:eastAsiaTheme="minorEastAsia" w:hAnsi="Times New Roman" w:hint="eastAsia"/>
                <w:color w:val="000000"/>
                <w:sz w:val="18"/>
                <w:szCs w:val="18"/>
                <w:lang w:eastAsia="ko-KR"/>
              </w:rPr>
              <w:t>41.77</w:t>
            </w:r>
          </w:p>
        </w:tc>
        <w:tc>
          <w:tcPr>
            <w:tcW w:w="630" w:type="dxa"/>
            <w:tcBorders>
              <w:top w:val="dotted" w:sz="4" w:space="0" w:color="auto"/>
            </w:tcBorders>
            <w:vAlign w:val="center"/>
          </w:tcPr>
          <w:p w14:paraId="55F48B42" w14:textId="77777777" w:rsidR="00610B4F" w:rsidRPr="00382B87"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-6.0</w:t>
            </w:r>
          </w:p>
        </w:tc>
        <w:tc>
          <w:tcPr>
            <w:tcW w:w="540" w:type="dxa"/>
            <w:tcBorders>
              <w:top w:val="dotted" w:sz="4" w:space="0" w:color="auto"/>
              <w:right w:val="dotted" w:sz="4" w:space="0" w:color="auto"/>
            </w:tcBorders>
            <w:vAlign w:val="center"/>
          </w:tcPr>
          <w:p w14:paraId="218F4F06" w14:textId="77777777" w:rsidR="00610B4F" w:rsidRPr="00A75C55"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+17.9</w:t>
            </w:r>
          </w:p>
        </w:tc>
        <w:tc>
          <w:tcPr>
            <w:tcW w:w="540" w:type="dxa"/>
            <w:tcBorders>
              <w:top w:val="dotted" w:sz="4" w:space="0" w:color="auto"/>
              <w:left w:val="dotted" w:sz="4" w:space="0" w:color="auto"/>
              <w:right w:val="dotted" w:sz="4" w:space="0" w:color="auto"/>
            </w:tcBorders>
            <w:vAlign w:val="center"/>
          </w:tcPr>
          <w:p w14:paraId="11D7702D" w14:textId="77777777" w:rsidR="00610B4F" w:rsidRPr="00A75C55"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-82.1</w:t>
            </w:r>
          </w:p>
        </w:tc>
        <w:tc>
          <w:tcPr>
            <w:tcW w:w="630" w:type="dxa"/>
            <w:tcBorders>
              <w:top w:val="dotted" w:sz="4" w:space="0" w:color="auto"/>
              <w:left w:val="dotted" w:sz="4" w:space="0" w:color="auto"/>
              <w:right w:val="double" w:sz="4" w:space="0" w:color="auto"/>
            </w:tcBorders>
            <w:vAlign w:val="center"/>
          </w:tcPr>
          <w:p w14:paraId="10F71D68" w14:textId="77777777" w:rsidR="00610B4F" w:rsidRPr="00691990" w:rsidRDefault="00610B4F" w:rsidP="001A3D79">
            <w:pPr>
              <w:jc w:val="right"/>
              <w:rPr>
                <w:rFonts w:ascii="Times New Roman" w:hAnsi="Times New Roman"/>
                <w:color w:val="000000"/>
                <w:sz w:val="18"/>
                <w:szCs w:val="18"/>
              </w:rPr>
            </w:pPr>
            <w:r w:rsidRPr="00935615">
              <w:rPr>
                <w:rFonts w:ascii="Times New Roman" w:hAnsi="Times New Roman"/>
                <w:color w:val="000000"/>
                <w:sz w:val="18"/>
                <w:szCs w:val="18"/>
              </w:rPr>
              <w:t>0.0</w:t>
            </w:r>
          </w:p>
        </w:tc>
      </w:tr>
      <w:tr w:rsidR="00610B4F" w14:paraId="3FC040E9" w14:textId="77777777" w:rsidTr="001A3D79">
        <w:trPr>
          <w:trHeight w:val="243"/>
        </w:trPr>
        <w:tc>
          <w:tcPr>
            <w:tcW w:w="12855" w:type="dxa"/>
            <w:gridSpan w:val="17"/>
            <w:tcBorders>
              <w:left w:val="double" w:sz="4" w:space="0" w:color="auto"/>
              <w:right w:val="double" w:sz="4" w:space="0" w:color="auto"/>
            </w:tcBorders>
          </w:tcPr>
          <w:p w14:paraId="0D097AFF" w14:textId="77777777" w:rsidR="00610B4F" w:rsidRPr="00691990" w:rsidRDefault="00610B4F" w:rsidP="001A3D79">
            <w:pPr>
              <w:rPr>
                <w:rFonts w:ascii="Times New Roman" w:hAnsi="Times New Roman"/>
                <w:color w:val="000000"/>
                <w:sz w:val="18"/>
                <w:szCs w:val="18"/>
              </w:rPr>
            </w:pPr>
            <w:r>
              <w:rPr>
                <w:rFonts w:ascii="Times New Roman" w:eastAsiaTheme="minorEastAsia" w:hAnsi="Times New Roman" w:hint="eastAsia"/>
                <w:b/>
                <w:bCs/>
                <w:noProof/>
                <w:sz w:val="20"/>
                <w:lang w:eastAsia="ko-KR"/>
              </w:rPr>
              <w:t>Household Characteristics</w:t>
            </w:r>
          </w:p>
        </w:tc>
      </w:tr>
      <w:tr w:rsidR="00610B4F" w14:paraId="2A8954E4" w14:textId="77777777" w:rsidTr="003958E9">
        <w:trPr>
          <w:trHeight w:val="280"/>
        </w:trPr>
        <w:tc>
          <w:tcPr>
            <w:tcW w:w="1425" w:type="dxa"/>
            <w:vMerge w:val="restart"/>
            <w:tcBorders>
              <w:left w:val="double" w:sz="4" w:space="0" w:color="auto"/>
              <w:bottom w:val="dotted" w:sz="4" w:space="0" w:color="auto"/>
              <w:right w:val="dotted" w:sz="4" w:space="0" w:color="auto"/>
            </w:tcBorders>
            <w:vAlign w:val="center"/>
          </w:tcPr>
          <w:p w14:paraId="4D86EDEE" w14:textId="77777777" w:rsidR="00610B4F" w:rsidRPr="00C945C7" w:rsidRDefault="00610B4F" w:rsidP="001A3D79">
            <w:pPr>
              <w:spacing w:line="276" w:lineRule="auto"/>
              <w:rPr>
                <w:rFonts w:ascii="Times New Roman" w:eastAsiaTheme="minorEastAsia" w:hAnsi="Times New Roman"/>
                <w:b/>
                <w:bCs/>
                <w:noProof/>
                <w:sz w:val="18"/>
                <w:szCs w:val="18"/>
                <w:lang w:eastAsia="ko-KR"/>
              </w:rPr>
            </w:pPr>
            <w:r w:rsidRPr="00C945C7">
              <w:rPr>
                <w:rFonts w:ascii="Times New Roman" w:eastAsia="Times New Roman" w:hAnsi="Times New Roman"/>
                <w:color w:val="000000"/>
                <w:sz w:val="18"/>
                <w:szCs w:val="18"/>
              </w:rPr>
              <w:t>Household composition</w:t>
            </w:r>
          </w:p>
        </w:tc>
        <w:tc>
          <w:tcPr>
            <w:tcW w:w="1350" w:type="dxa"/>
            <w:vMerge w:val="restart"/>
            <w:tcBorders>
              <w:left w:val="dotted" w:sz="4" w:space="0" w:color="auto"/>
              <w:bottom w:val="dotted" w:sz="4" w:space="0" w:color="auto"/>
              <w:right w:val="dotted" w:sz="4" w:space="0" w:color="auto"/>
            </w:tcBorders>
            <w:vAlign w:val="center"/>
          </w:tcPr>
          <w:p w14:paraId="4C62A1A5" w14:textId="63D50722" w:rsidR="00610B4F" w:rsidRPr="00C945C7" w:rsidRDefault="00610B4F" w:rsidP="001A3D79">
            <w:pPr>
              <w:spacing w:line="276" w:lineRule="auto"/>
              <w:rPr>
                <w:rFonts w:ascii="Times New Roman" w:eastAsiaTheme="minorEastAsia" w:hAnsi="Times New Roman"/>
                <w:b/>
                <w:bCs/>
                <w:noProof/>
                <w:sz w:val="18"/>
                <w:szCs w:val="18"/>
                <w:lang w:eastAsia="ko-KR"/>
              </w:rPr>
            </w:pPr>
            <w:r w:rsidRPr="00C945C7">
              <w:rPr>
                <w:rFonts w:ascii="Times New Roman" w:eastAsia="Times New Roman" w:hAnsi="Times New Roman"/>
                <w:color w:val="000000"/>
                <w:sz w:val="18"/>
                <w:szCs w:val="18"/>
              </w:rPr>
              <w:t>Two</w:t>
            </w:r>
            <w:r w:rsidR="000E2265">
              <w:rPr>
                <w:rFonts w:ascii="Times New Roman" w:eastAsiaTheme="minorEastAsia" w:hAnsi="Times New Roman" w:hint="eastAsia"/>
                <w:color w:val="000000"/>
                <w:sz w:val="18"/>
                <w:szCs w:val="18"/>
                <w:lang w:eastAsia="ko-KR"/>
              </w:rPr>
              <w:t xml:space="preserve"> </w:t>
            </w:r>
            <w:r w:rsidRPr="00C945C7">
              <w:rPr>
                <w:rFonts w:ascii="Times New Roman" w:eastAsia="Times New Roman" w:hAnsi="Times New Roman"/>
                <w:color w:val="000000"/>
                <w:sz w:val="18"/>
                <w:szCs w:val="18"/>
              </w:rPr>
              <w:t>adult</w:t>
            </w:r>
            <w:r w:rsidR="000E2265">
              <w:rPr>
                <w:rFonts w:ascii="Times New Roman" w:eastAsiaTheme="minorEastAsia" w:hAnsi="Times New Roman" w:hint="eastAsia"/>
                <w:color w:val="000000"/>
                <w:sz w:val="18"/>
                <w:szCs w:val="18"/>
                <w:lang w:eastAsia="ko-KR"/>
              </w:rPr>
              <w:t>s</w:t>
            </w:r>
            <w:r w:rsidRPr="00C945C7">
              <w:rPr>
                <w:rFonts w:ascii="Times New Roman" w:hAnsi="Times New Roman" w:hint="eastAsia"/>
                <w:color w:val="000000"/>
                <w:sz w:val="18"/>
                <w:szCs w:val="18"/>
              </w:rPr>
              <w:t xml:space="preserve"> without child</w:t>
            </w:r>
          </w:p>
        </w:tc>
        <w:tc>
          <w:tcPr>
            <w:tcW w:w="1530" w:type="dxa"/>
            <w:tcBorders>
              <w:left w:val="dotted" w:sz="4" w:space="0" w:color="auto"/>
              <w:bottom w:val="dotted" w:sz="4" w:space="0" w:color="auto"/>
              <w:right w:val="single" w:sz="8" w:space="0" w:color="auto"/>
            </w:tcBorders>
            <w:vAlign w:val="center"/>
          </w:tcPr>
          <w:p w14:paraId="7EE01D24" w14:textId="009DC899" w:rsidR="00610B4F" w:rsidRPr="005C2CAF" w:rsidRDefault="00610B4F" w:rsidP="001A3D79">
            <w:pPr>
              <w:spacing w:line="276" w:lineRule="auto"/>
              <w:rPr>
                <w:rFonts w:ascii="Times New Roman" w:eastAsiaTheme="minorEastAsia" w:hAnsi="Times New Roman"/>
                <w:b/>
                <w:bCs/>
                <w:noProof/>
                <w:sz w:val="18"/>
                <w:szCs w:val="18"/>
                <w:lang w:eastAsia="ko-KR"/>
              </w:rPr>
            </w:pPr>
            <w:r w:rsidRPr="00C945C7">
              <w:rPr>
                <w:rFonts w:ascii="Times New Roman" w:eastAsia="Times New Roman" w:hAnsi="Times New Roman"/>
                <w:color w:val="000000"/>
                <w:sz w:val="18"/>
                <w:szCs w:val="18"/>
              </w:rPr>
              <w:t>Single</w:t>
            </w:r>
            <w:r w:rsidRPr="00C945C7">
              <w:rPr>
                <w:rFonts w:ascii="Times New Roman" w:hAnsi="Times New Roman" w:hint="eastAsia"/>
                <w:color w:val="000000"/>
                <w:sz w:val="18"/>
                <w:szCs w:val="18"/>
              </w:rPr>
              <w:t xml:space="preserve"> adult</w:t>
            </w:r>
            <w:r w:rsidR="005C2CAF">
              <w:rPr>
                <w:rFonts w:ascii="Times New Roman" w:eastAsiaTheme="minorEastAsia" w:hAnsi="Times New Roman" w:hint="eastAsia"/>
                <w:color w:val="000000"/>
                <w:sz w:val="18"/>
                <w:szCs w:val="18"/>
                <w:lang w:eastAsia="ko-KR"/>
              </w:rPr>
              <w:t xml:space="preserve"> without child</w:t>
            </w:r>
          </w:p>
        </w:tc>
        <w:tc>
          <w:tcPr>
            <w:tcW w:w="720" w:type="dxa"/>
            <w:tcBorders>
              <w:left w:val="single" w:sz="8" w:space="0" w:color="auto"/>
              <w:bottom w:val="dotted" w:sz="4" w:space="0" w:color="auto"/>
              <w:right w:val="dotted" w:sz="4" w:space="0" w:color="auto"/>
            </w:tcBorders>
            <w:vAlign w:val="center"/>
          </w:tcPr>
          <w:p w14:paraId="76CAE4FC" w14:textId="77777777" w:rsidR="00610B4F" w:rsidRPr="0038599C"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0.31</w:t>
            </w:r>
          </w:p>
        </w:tc>
        <w:tc>
          <w:tcPr>
            <w:tcW w:w="630" w:type="dxa"/>
            <w:tcBorders>
              <w:left w:val="dotted" w:sz="4" w:space="0" w:color="auto"/>
              <w:bottom w:val="dotted" w:sz="4" w:space="0" w:color="auto"/>
              <w:right w:val="single" w:sz="6" w:space="0" w:color="auto"/>
            </w:tcBorders>
            <w:vAlign w:val="center"/>
          </w:tcPr>
          <w:p w14:paraId="60BFA1F0" w14:textId="77777777" w:rsidR="00610B4F" w:rsidRPr="0038599C"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0.22</w:t>
            </w:r>
          </w:p>
        </w:tc>
        <w:tc>
          <w:tcPr>
            <w:tcW w:w="630" w:type="dxa"/>
            <w:tcBorders>
              <w:left w:val="single" w:sz="6" w:space="0" w:color="auto"/>
              <w:bottom w:val="dotted" w:sz="4" w:space="0" w:color="auto"/>
              <w:right w:val="single" w:sz="8" w:space="0" w:color="auto"/>
            </w:tcBorders>
            <w:vAlign w:val="center"/>
          </w:tcPr>
          <w:p w14:paraId="32B460E9" w14:textId="77777777" w:rsidR="00610B4F" w:rsidRPr="0036342B" w:rsidRDefault="00610B4F" w:rsidP="001A3D79">
            <w:pPr>
              <w:jc w:val="right"/>
              <w:rPr>
                <w:rFonts w:ascii="Times New Roman" w:eastAsiaTheme="minorEastAsia" w:hAnsi="Times New Roman"/>
                <w:color w:val="000000"/>
                <w:sz w:val="18"/>
                <w:szCs w:val="18"/>
                <w:lang w:eastAsia="ko-KR"/>
              </w:rPr>
            </w:pPr>
            <w:r w:rsidRPr="00691990">
              <w:rPr>
                <w:rFonts w:ascii="Times New Roman" w:hAnsi="Times New Roman" w:hint="eastAsia"/>
                <w:color w:val="000000"/>
                <w:sz w:val="18"/>
                <w:szCs w:val="18"/>
              </w:rPr>
              <w:t>-</w:t>
            </w:r>
            <w:r>
              <w:rPr>
                <w:rFonts w:ascii="Times New Roman" w:eastAsiaTheme="minorEastAsia" w:hAnsi="Times New Roman" w:hint="eastAsia"/>
                <w:color w:val="000000"/>
                <w:sz w:val="18"/>
                <w:szCs w:val="18"/>
                <w:lang w:eastAsia="ko-KR"/>
              </w:rPr>
              <w:t>29.0</w:t>
            </w:r>
          </w:p>
        </w:tc>
        <w:tc>
          <w:tcPr>
            <w:tcW w:w="623" w:type="dxa"/>
            <w:tcBorders>
              <w:left w:val="single" w:sz="8" w:space="0" w:color="auto"/>
              <w:bottom w:val="dotted" w:sz="4" w:space="0" w:color="auto"/>
              <w:right w:val="dotted" w:sz="4" w:space="0" w:color="auto"/>
            </w:tcBorders>
            <w:vAlign w:val="center"/>
          </w:tcPr>
          <w:p w14:paraId="4CF693A0" w14:textId="77777777" w:rsidR="00610B4F" w:rsidRPr="00691990" w:rsidRDefault="00610B4F" w:rsidP="001A3D79">
            <w:pPr>
              <w:jc w:val="right"/>
              <w:rPr>
                <w:rFonts w:ascii="Times New Roman" w:hAnsi="Times New Roman"/>
                <w:color w:val="000000"/>
                <w:sz w:val="18"/>
                <w:szCs w:val="18"/>
              </w:rPr>
            </w:pPr>
            <w:r w:rsidRPr="00935615">
              <w:rPr>
                <w:rFonts w:ascii="Times New Roman" w:hAnsi="Times New Roman"/>
                <w:color w:val="000000"/>
                <w:sz w:val="18"/>
                <w:szCs w:val="18"/>
              </w:rPr>
              <w:t>3.77</w:t>
            </w:r>
          </w:p>
        </w:tc>
        <w:tc>
          <w:tcPr>
            <w:tcW w:w="477" w:type="dxa"/>
            <w:tcBorders>
              <w:left w:val="dotted" w:sz="4" w:space="0" w:color="auto"/>
              <w:bottom w:val="dotted" w:sz="4" w:space="0" w:color="auto"/>
            </w:tcBorders>
            <w:vAlign w:val="center"/>
          </w:tcPr>
          <w:p w14:paraId="2A8A37D2" w14:textId="77777777" w:rsidR="00610B4F" w:rsidRPr="00691990" w:rsidRDefault="00610B4F" w:rsidP="001A3D79">
            <w:pPr>
              <w:jc w:val="right"/>
              <w:rPr>
                <w:rFonts w:ascii="Times New Roman" w:hAnsi="Times New Roman"/>
                <w:color w:val="000000"/>
                <w:sz w:val="18"/>
                <w:szCs w:val="18"/>
              </w:rPr>
            </w:pPr>
            <w:r w:rsidRPr="00935615">
              <w:rPr>
                <w:rFonts w:ascii="Times New Roman" w:hAnsi="Times New Roman"/>
                <w:color w:val="000000"/>
                <w:sz w:val="18"/>
                <w:szCs w:val="18"/>
              </w:rPr>
              <w:t>3.49</w:t>
            </w:r>
          </w:p>
        </w:tc>
        <w:tc>
          <w:tcPr>
            <w:tcW w:w="520" w:type="dxa"/>
            <w:tcBorders>
              <w:bottom w:val="dotted" w:sz="4" w:space="0" w:color="auto"/>
            </w:tcBorders>
            <w:vAlign w:val="center"/>
          </w:tcPr>
          <w:p w14:paraId="138C2CD6" w14:textId="77777777" w:rsidR="00610B4F" w:rsidRPr="00691990" w:rsidRDefault="00610B4F" w:rsidP="001A3D79">
            <w:pPr>
              <w:jc w:val="right"/>
              <w:rPr>
                <w:rFonts w:ascii="Times New Roman" w:hAnsi="Times New Roman"/>
                <w:color w:val="000000"/>
                <w:sz w:val="18"/>
                <w:szCs w:val="18"/>
              </w:rPr>
            </w:pPr>
            <w:r w:rsidRPr="00935615">
              <w:rPr>
                <w:rFonts w:ascii="Times New Roman" w:hAnsi="Times New Roman"/>
                <w:color w:val="000000"/>
                <w:sz w:val="18"/>
                <w:szCs w:val="18"/>
              </w:rPr>
              <w:t>-7.4</w:t>
            </w:r>
          </w:p>
        </w:tc>
        <w:tc>
          <w:tcPr>
            <w:tcW w:w="720" w:type="dxa"/>
            <w:tcBorders>
              <w:bottom w:val="dotted" w:sz="4" w:space="0" w:color="auto"/>
              <w:right w:val="dotted" w:sz="4" w:space="0" w:color="auto"/>
            </w:tcBorders>
            <w:vAlign w:val="center"/>
          </w:tcPr>
          <w:p w14:paraId="03A0D467" w14:textId="77777777" w:rsidR="00610B4F" w:rsidRPr="00691990" w:rsidRDefault="00610B4F" w:rsidP="001A3D79">
            <w:pPr>
              <w:jc w:val="right"/>
              <w:rPr>
                <w:rFonts w:ascii="Times New Roman" w:hAnsi="Times New Roman"/>
                <w:color w:val="000000"/>
                <w:sz w:val="18"/>
                <w:szCs w:val="18"/>
              </w:rPr>
            </w:pPr>
            <w:r>
              <w:rPr>
                <w:rFonts w:ascii="Times New Roman" w:eastAsiaTheme="minorEastAsia" w:hAnsi="Times New Roman" w:hint="eastAsia"/>
                <w:color w:val="000000"/>
                <w:sz w:val="18"/>
                <w:szCs w:val="18"/>
                <w:lang w:eastAsia="ko-KR"/>
              </w:rPr>
              <w:t>-</w:t>
            </w:r>
            <w:r w:rsidRPr="00935615">
              <w:rPr>
                <w:rFonts w:ascii="Times New Roman" w:hAnsi="Times New Roman"/>
                <w:color w:val="000000"/>
                <w:sz w:val="18"/>
                <w:szCs w:val="18"/>
              </w:rPr>
              <w:t>100.0</w:t>
            </w:r>
          </w:p>
        </w:tc>
        <w:tc>
          <w:tcPr>
            <w:tcW w:w="720" w:type="dxa"/>
            <w:tcBorders>
              <w:left w:val="dotted" w:sz="4" w:space="0" w:color="auto"/>
              <w:bottom w:val="dotted" w:sz="4" w:space="0" w:color="auto"/>
              <w:right w:val="single" w:sz="8" w:space="0" w:color="auto"/>
            </w:tcBorders>
            <w:vAlign w:val="center"/>
          </w:tcPr>
          <w:p w14:paraId="4C0131E8" w14:textId="77777777" w:rsidR="00610B4F" w:rsidRPr="00691990" w:rsidRDefault="00610B4F" w:rsidP="001A3D79">
            <w:pPr>
              <w:jc w:val="right"/>
              <w:rPr>
                <w:rFonts w:ascii="Times New Roman" w:hAnsi="Times New Roman"/>
                <w:color w:val="000000"/>
                <w:sz w:val="18"/>
                <w:szCs w:val="18"/>
              </w:rPr>
            </w:pPr>
            <w:r w:rsidRPr="00935615">
              <w:rPr>
                <w:rFonts w:ascii="Times New Roman" w:hAnsi="Times New Roman"/>
                <w:color w:val="000000"/>
                <w:sz w:val="18"/>
                <w:szCs w:val="18"/>
              </w:rPr>
              <w:t>0.0</w:t>
            </w:r>
          </w:p>
        </w:tc>
        <w:tc>
          <w:tcPr>
            <w:tcW w:w="630" w:type="dxa"/>
            <w:tcBorders>
              <w:left w:val="single" w:sz="8" w:space="0" w:color="auto"/>
              <w:bottom w:val="dotted" w:sz="4" w:space="0" w:color="auto"/>
              <w:right w:val="dotted" w:sz="4" w:space="0" w:color="auto"/>
            </w:tcBorders>
            <w:vAlign w:val="center"/>
          </w:tcPr>
          <w:p w14:paraId="64E47DDA" w14:textId="77777777" w:rsidR="00610B4F" w:rsidRPr="00A75C55"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44.74</w:t>
            </w:r>
          </w:p>
        </w:tc>
        <w:tc>
          <w:tcPr>
            <w:tcW w:w="540" w:type="dxa"/>
            <w:tcBorders>
              <w:left w:val="dotted" w:sz="4" w:space="0" w:color="auto"/>
              <w:bottom w:val="dotted" w:sz="4" w:space="0" w:color="auto"/>
            </w:tcBorders>
            <w:vAlign w:val="center"/>
          </w:tcPr>
          <w:p w14:paraId="2CBCF59B" w14:textId="77777777" w:rsidR="00610B4F" w:rsidRPr="00A75C55"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37.87</w:t>
            </w:r>
          </w:p>
        </w:tc>
        <w:tc>
          <w:tcPr>
            <w:tcW w:w="630" w:type="dxa"/>
            <w:tcBorders>
              <w:bottom w:val="dotted" w:sz="4" w:space="0" w:color="auto"/>
            </w:tcBorders>
            <w:vAlign w:val="center"/>
          </w:tcPr>
          <w:p w14:paraId="6826F3E1" w14:textId="77777777" w:rsidR="00610B4F" w:rsidRPr="00A75C55"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-15.4</w:t>
            </w:r>
          </w:p>
        </w:tc>
        <w:tc>
          <w:tcPr>
            <w:tcW w:w="540" w:type="dxa"/>
            <w:tcBorders>
              <w:bottom w:val="dotted" w:sz="4" w:space="0" w:color="auto"/>
              <w:right w:val="dotted" w:sz="4" w:space="0" w:color="auto"/>
            </w:tcBorders>
            <w:vAlign w:val="center"/>
          </w:tcPr>
          <w:p w14:paraId="3966DDE6" w14:textId="77777777" w:rsidR="00610B4F" w:rsidRPr="00A41036" w:rsidRDefault="00610B4F" w:rsidP="001A3D79">
            <w:pPr>
              <w:jc w:val="right"/>
              <w:rPr>
                <w:rFonts w:ascii="Times New Roman" w:eastAsiaTheme="minorEastAsia" w:hAnsi="Times New Roman"/>
                <w:color w:val="000000"/>
                <w:sz w:val="18"/>
                <w:szCs w:val="18"/>
                <w:lang w:eastAsia="ko-KR"/>
              </w:rPr>
            </w:pPr>
            <w:r w:rsidRPr="00935615">
              <w:rPr>
                <w:rFonts w:ascii="Times New Roman" w:hAnsi="Times New Roman"/>
                <w:color w:val="000000"/>
                <w:sz w:val="18"/>
                <w:szCs w:val="18"/>
              </w:rPr>
              <w:t>0.0</w:t>
            </w:r>
          </w:p>
        </w:tc>
        <w:tc>
          <w:tcPr>
            <w:tcW w:w="540" w:type="dxa"/>
            <w:tcBorders>
              <w:left w:val="dotted" w:sz="4" w:space="0" w:color="auto"/>
              <w:bottom w:val="dotted" w:sz="4" w:space="0" w:color="auto"/>
              <w:right w:val="dotted" w:sz="4" w:space="0" w:color="auto"/>
            </w:tcBorders>
            <w:vAlign w:val="center"/>
          </w:tcPr>
          <w:p w14:paraId="3A5B8E42" w14:textId="77777777" w:rsidR="00610B4F" w:rsidRPr="00691990" w:rsidRDefault="00610B4F" w:rsidP="001A3D79">
            <w:pPr>
              <w:jc w:val="right"/>
              <w:rPr>
                <w:rFonts w:ascii="Times New Roman" w:hAnsi="Times New Roman"/>
                <w:color w:val="000000"/>
                <w:sz w:val="18"/>
                <w:szCs w:val="18"/>
              </w:rPr>
            </w:pPr>
            <w:r>
              <w:rPr>
                <w:rFonts w:ascii="Times New Roman" w:eastAsiaTheme="minorEastAsia" w:hAnsi="Times New Roman" w:hint="eastAsia"/>
                <w:color w:val="000000"/>
                <w:sz w:val="18"/>
                <w:szCs w:val="18"/>
                <w:lang w:eastAsia="ko-KR"/>
              </w:rPr>
              <w:t>-</w:t>
            </w:r>
            <w:r w:rsidRPr="00935615">
              <w:rPr>
                <w:rFonts w:ascii="Times New Roman" w:hAnsi="Times New Roman"/>
                <w:color w:val="000000"/>
                <w:sz w:val="18"/>
                <w:szCs w:val="18"/>
              </w:rPr>
              <w:t>100.0</w:t>
            </w:r>
          </w:p>
        </w:tc>
        <w:tc>
          <w:tcPr>
            <w:tcW w:w="630" w:type="dxa"/>
            <w:tcBorders>
              <w:left w:val="dotted" w:sz="4" w:space="0" w:color="auto"/>
              <w:bottom w:val="dotted" w:sz="4" w:space="0" w:color="auto"/>
              <w:right w:val="double" w:sz="4" w:space="0" w:color="auto"/>
            </w:tcBorders>
            <w:vAlign w:val="center"/>
          </w:tcPr>
          <w:p w14:paraId="656D3B50" w14:textId="77777777" w:rsidR="00610B4F" w:rsidRPr="00691990" w:rsidRDefault="00610B4F" w:rsidP="001A3D79">
            <w:pPr>
              <w:jc w:val="right"/>
              <w:rPr>
                <w:rFonts w:ascii="Times New Roman" w:hAnsi="Times New Roman"/>
                <w:color w:val="000000"/>
                <w:sz w:val="18"/>
                <w:szCs w:val="18"/>
              </w:rPr>
            </w:pPr>
            <w:r w:rsidRPr="00935615">
              <w:rPr>
                <w:rFonts w:ascii="Times New Roman" w:hAnsi="Times New Roman"/>
                <w:color w:val="000000"/>
                <w:sz w:val="18"/>
                <w:szCs w:val="18"/>
              </w:rPr>
              <w:t>0.0</w:t>
            </w:r>
          </w:p>
        </w:tc>
      </w:tr>
      <w:tr w:rsidR="00610B4F" w14:paraId="16928684" w14:textId="77777777" w:rsidTr="003958E9">
        <w:trPr>
          <w:trHeight w:val="152"/>
        </w:trPr>
        <w:tc>
          <w:tcPr>
            <w:tcW w:w="1425" w:type="dxa"/>
            <w:vMerge/>
            <w:tcBorders>
              <w:top w:val="dotted" w:sz="4" w:space="0" w:color="auto"/>
              <w:left w:val="double" w:sz="4" w:space="0" w:color="auto"/>
              <w:bottom w:val="dotted" w:sz="4" w:space="0" w:color="auto"/>
              <w:right w:val="dotted" w:sz="4" w:space="0" w:color="auto"/>
            </w:tcBorders>
            <w:vAlign w:val="center"/>
          </w:tcPr>
          <w:p w14:paraId="718A66B9" w14:textId="77777777" w:rsidR="00610B4F" w:rsidRPr="00C945C7" w:rsidRDefault="00610B4F" w:rsidP="001A3D79">
            <w:pPr>
              <w:spacing w:line="276" w:lineRule="auto"/>
              <w:rPr>
                <w:rFonts w:ascii="Times New Roman" w:eastAsiaTheme="minorEastAsia" w:hAnsi="Times New Roman"/>
                <w:b/>
                <w:bCs/>
                <w:noProof/>
                <w:sz w:val="18"/>
                <w:szCs w:val="18"/>
                <w:lang w:eastAsia="ko-KR"/>
              </w:rPr>
            </w:pPr>
          </w:p>
        </w:tc>
        <w:tc>
          <w:tcPr>
            <w:tcW w:w="1350" w:type="dxa"/>
            <w:vMerge/>
            <w:tcBorders>
              <w:top w:val="dotted" w:sz="4" w:space="0" w:color="auto"/>
              <w:left w:val="dotted" w:sz="4" w:space="0" w:color="auto"/>
              <w:bottom w:val="dotted" w:sz="4" w:space="0" w:color="auto"/>
              <w:right w:val="dotted" w:sz="4" w:space="0" w:color="auto"/>
            </w:tcBorders>
            <w:vAlign w:val="center"/>
          </w:tcPr>
          <w:p w14:paraId="6593B460" w14:textId="77777777" w:rsidR="00610B4F" w:rsidRPr="00C945C7" w:rsidRDefault="00610B4F" w:rsidP="001A3D79">
            <w:pPr>
              <w:spacing w:line="276" w:lineRule="auto"/>
              <w:rPr>
                <w:rFonts w:ascii="Times New Roman" w:eastAsiaTheme="minorEastAsia" w:hAnsi="Times New Roman"/>
                <w:b/>
                <w:bCs/>
                <w:noProof/>
                <w:sz w:val="18"/>
                <w:szCs w:val="18"/>
                <w:lang w:eastAsia="ko-KR"/>
              </w:rPr>
            </w:pPr>
          </w:p>
        </w:tc>
        <w:tc>
          <w:tcPr>
            <w:tcW w:w="1530" w:type="dxa"/>
            <w:tcBorders>
              <w:top w:val="dotted" w:sz="4" w:space="0" w:color="auto"/>
              <w:left w:val="dotted" w:sz="4" w:space="0" w:color="auto"/>
              <w:bottom w:val="dotted" w:sz="4" w:space="0" w:color="auto"/>
              <w:right w:val="single" w:sz="8" w:space="0" w:color="auto"/>
            </w:tcBorders>
            <w:vAlign w:val="center"/>
          </w:tcPr>
          <w:p w14:paraId="6E7BB9BD" w14:textId="4C0F0157" w:rsidR="00610B4F" w:rsidRPr="00C945C7" w:rsidRDefault="005C1D19" w:rsidP="001A3D79">
            <w:pPr>
              <w:spacing w:line="276" w:lineRule="auto"/>
              <w:rPr>
                <w:rFonts w:ascii="Times New Roman" w:eastAsia="Times New Roman" w:hAnsi="Times New Roman"/>
                <w:color w:val="000000"/>
                <w:sz w:val="18"/>
                <w:szCs w:val="18"/>
              </w:rPr>
            </w:pPr>
            <w:r>
              <w:rPr>
                <w:rFonts w:ascii="Times New Roman" w:hAnsi="Times New Roman"/>
                <w:color w:val="000000"/>
                <w:sz w:val="18"/>
                <w:szCs w:val="18"/>
              </w:rPr>
              <w:t>Single/Two adults</w:t>
            </w:r>
            <w:r w:rsidR="00610B4F" w:rsidRPr="00C945C7">
              <w:rPr>
                <w:rFonts w:ascii="Times New Roman" w:hAnsi="Times New Roman" w:hint="eastAsia"/>
                <w:color w:val="000000"/>
                <w:sz w:val="18"/>
                <w:szCs w:val="18"/>
              </w:rPr>
              <w:t xml:space="preserve"> with </w:t>
            </w:r>
            <w:r w:rsidR="00610B4F" w:rsidRPr="00C945C7">
              <w:rPr>
                <w:rFonts w:ascii="Times New Roman" w:hAnsi="Times New Roman"/>
                <w:color w:val="000000"/>
                <w:sz w:val="18"/>
                <w:szCs w:val="18"/>
              </w:rPr>
              <w:t>a child</w:t>
            </w:r>
          </w:p>
        </w:tc>
        <w:tc>
          <w:tcPr>
            <w:tcW w:w="720" w:type="dxa"/>
            <w:tcBorders>
              <w:top w:val="dotted" w:sz="4" w:space="0" w:color="auto"/>
              <w:left w:val="single" w:sz="8" w:space="0" w:color="auto"/>
              <w:bottom w:val="dotted" w:sz="4" w:space="0" w:color="auto"/>
              <w:right w:val="dotted" w:sz="4" w:space="0" w:color="auto"/>
            </w:tcBorders>
            <w:vAlign w:val="center"/>
          </w:tcPr>
          <w:p w14:paraId="1B9172F6" w14:textId="77777777" w:rsidR="00610B4F" w:rsidRPr="0038599C"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0.31</w:t>
            </w:r>
          </w:p>
        </w:tc>
        <w:tc>
          <w:tcPr>
            <w:tcW w:w="630" w:type="dxa"/>
            <w:tcBorders>
              <w:top w:val="dotted" w:sz="4" w:space="0" w:color="auto"/>
              <w:left w:val="dotted" w:sz="4" w:space="0" w:color="auto"/>
              <w:bottom w:val="dotted" w:sz="4" w:space="0" w:color="auto"/>
              <w:right w:val="single" w:sz="6" w:space="0" w:color="auto"/>
            </w:tcBorders>
            <w:vAlign w:val="center"/>
          </w:tcPr>
          <w:p w14:paraId="35F3FF0A" w14:textId="77777777" w:rsidR="00610B4F" w:rsidRPr="0038599C"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0.40</w:t>
            </w:r>
          </w:p>
        </w:tc>
        <w:tc>
          <w:tcPr>
            <w:tcW w:w="630" w:type="dxa"/>
            <w:tcBorders>
              <w:top w:val="dotted" w:sz="4" w:space="0" w:color="auto"/>
              <w:left w:val="single" w:sz="6" w:space="0" w:color="auto"/>
              <w:bottom w:val="dotted" w:sz="4" w:space="0" w:color="auto"/>
              <w:right w:val="single" w:sz="8" w:space="0" w:color="auto"/>
            </w:tcBorders>
            <w:vAlign w:val="center"/>
          </w:tcPr>
          <w:p w14:paraId="6C8BFAE5" w14:textId="77777777" w:rsidR="00610B4F" w:rsidRPr="00197A5A"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29.0</w:t>
            </w:r>
          </w:p>
        </w:tc>
        <w:tc>
          <w:tcPr>
            <w:tcW w:w="623" w:type="dxa"/>
            <w:tcBorders>
              <w:top w:val="dotted" w:sz="4" w:space="0" w:color="auto"/>
              <w:left w:val="single" w:sz="8" w:space="0" w:color="auto"/>
              <w:bottom w:val="dotted" w:sz="4" w:space="0" w:color="auto"/>
              <w:right w:val="dotted" w:sz="4" w:space="0" w:color="auto"/>
            </w:tcBorders>
            <w:vAlign w:val="center"/>
          </w:tcPr>
          <w:p w14:paraId="51252258" w14:textId="77777777" w:rsidR="00610B4F" w:rsidRPr="00935615" w:rsidRDefault="00610B4F" w:rsidP="001A3D79">
            <w:pPr>
              <w:jc w:val="right"/>
              <w:rPr>
                <w:rFonts w:ascii="Times New Roman" w:hAnsi="Times New Roman"/>
                <w:color w:val="000000"/>
                <w:sz w:val="18"/>
                <w:szCs w:val="18"/>
              </w:rPr>
            </w:pPr>
            <w:r w:rsidRPr="00935615">
              <w:rPr>
                <w:rFonts w:ascii="Times New Roman" w:hAnsi="Times New Roman"/>
                <w:color w:val="000000"/>
                <w:sz w:val="18"/>
                <w:szCs w:val="18"/>
              </w:rPr>
              <w:t>3.77</w:t>
            </w:r>
          </w:p>
        </w:tc>
        <w:tc>
          <w:tcPr>
            <w:tcW w:w="477" w:type="dxa"/>
            <w:tcBorders>
              <w:top w:val="dotted" w:sz="4" w:space="0" w:color="auto"/>
              <w:left w:val="dotted" w:sz="4" w:space="0" w:color="auto"/>
              <w:bottom w:val="dotted" w:sz="4" w:space="0" w:color="auto"/>
            </w:tcBorders>
            <w:vAlign w:val="center"/>
          </w:tcPr>
          <w:p w14:paraId="18A36D40" w14:textId="77777777" w:rsidR="00610B4F" w:rsidRPr="00935615" w:rsidRDefault="00610B4F" w:rsidP="001A3D79">
            <w:pPr>
              <w:jc w:val="right"/>
              <w:rPr>
                <w:rFonts w:ascii="Times New Roman" w:hAnsi="Times New Roman"/>
                <w:color w:val="000000"/>
                <w:sz w:val="18"/>
                <w:szCs w:val="18"/>
              </w:rPr>
            </w:pPr>
            <w:r w:rsidRPr="00935615">
              <w:rPr>
                <w:rFonts w:ascii="Times New Roman" w:hAnsi="Times New Roman"/>
                <w:color w:val="000000"/>
                <w:sz w:val="18"/>
                <w:szCs w:val="18"/>
              </w:rPr>
              <w:t>3.57</w:t>
            </w:r>
          </w:p>
        </w:tc>
        <w:tc>
          <w:tcPr>
            <w:tcW w:w="520" w:type="dxa"/>
            <w:tcBorders>
              <w:top w:val="dotted" w:sz="4" w:space="0" w:color="auto"/>
              <w:bottom w:val="dotted" w:sz="4" w:space="0" w:color="auto"/>
            </w:tcBorders>
            <w:vAlign w:val="center"/>
          </w:tcPr>
          <w:p w14:paraId="50A2FD93" w14:textId="77777777" w:rsidR="00610B4F" w:rsidRPr="00FB6168" w:rsidRDefault="00610B4F" w:rsidP="001A3D79">
            <w:pPr>
              <w:jc w:val="right"/>
              <w:rPr>
                <w:rFonts w:ascii="Times New Roman" w:eastAsiaTheme="minorEastAsia" w:hAnsi="Times New Roman"/>
                <w:color w:val="000000"/>
                <w:sz w:val="18"/>
                <w:szCs w:val="18"/>
                <w:lang w:eastAsia="ko-KR"/>
              </w:rPr>
            </w:pPr>
            <w:r w:rsidRPr="00935615">
              <w:rPr>
                <w:rFonts w:ascii="Times New Roman" w:hAnsi="Times New Roman"/>
                <w:color w:val="000000"/>
                <w:sz w:val="18"/>
                <w:szCs w:val="18"/>
              </w:rPr>
              <w:t>-5.</w:t>
            </w:r>
            <w:r>
              <w:rPr>
                <w:rFonts w:ascii="Times New Roman" w:eastAsiaTheme="minorEastAsia" w:hAnsi="Times New Roman" w:hint="eastAsia"/>
                <w:color w:val="000000"/>
                <w:sz w:val="18"/>
                <w:szCs w:val="18"/>
                <w:lang w:eastAsia="ko-KR"/>
              </w:rPr>
              <w:t>3</w:t>
            </w:r>
          </w:p>
        </w:tc>
        <w:tc>
          <w:tcPr>
            <w:tcW w:w="720" w:type="dxa"/>
            <w:tcBorders>
              <w:top w:val="dotted" w:sz="4" w:space="0" w:color="auto"/>
              <w:bottom w:val="dotted" w:sz="4" w:space="0" w:color="auto"/>
              <w:right w:val="dotted" w:sz="4" w:space="0" w:color="auto"/>
            </w:tcBorders>
            <w:vAlign w:val="center"/>
          </w:tcPr>
          <w:p w14:paraId="17E6DBA1" w14:textId="77777777" w:rsidR="00610B4F"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w:t>
            </w:r>
            <w:r w:rsidRPr="00935615">
              <w:rPr>
                <w:rFonts w:ascii="Times New Roman" w:hAnsi="Times New Roman"/>
                <w:color w:val="000000"/>
                <w:sz w:val="18"/>
                <w:szCs w:val="18"/>
              </w:rPr>
              <w:t>37.1</w:t>
            </w:r>
          </w:p>
        </w:tc>
        <w:tc>
          <w:tcPr>
            <w:tcW w:w="720" w:type="dxa"/>
            <w:tcBorders>
              <w:top w:val="dotted" w:sz="4" w:space="0" w:color="auto"/>
              <w:left w:val="dotted" w:sz="4" w:space="0" w:color="auto"/>
              <w:bottom w:val="dotted" w:sz="4" w:space="0" w:color="auto"/>
              <w:right w:val="single" w:sz="8" w:space="0" w:color="auto"/>
            </w:tcBorders>
            <w:vAlign w:val="center"/>
          </w:tcPr>
          <w:p w14:paraId="0E846032" w14:textId="77777777" w:rsidR="00610B4F" w:rsidRPr="00935615" w:rsidRDefault="00610B4F" w:rsidP="001A3D79">
            <w:pPr>
              <w:jc w:val="right"/>
              <w:rPr>
                <w:rFonts w:ascii="Times New Roman" w:hAnsi="Times New Roman"/>
                <w:color w:val="000000"/>
                <w:sz w:val="18"/>
                <w:szCs w:val="18"/>
              </w:rPr>
            </w:pPr>
            <w:r>
              <w:rPr>
                <w:rFonts w:ascii="Times New Roman" w:eastAsiaTheme="minorEastAsia" w:hAnsi="Times New Roman" w:hint="eastAsia"/>
                <w:color w:val="000000"/>
                <w:sz w:val="18"/>
                <w:szCs w:val="18"/>
                <w:lang w:eastAsia="ko-KR"/>
              </w:rPr>
              <w:t>-</w:t>
            </w:r>
            <w:r w:rsidRPr="00935615">
              <w:rPr>
                <w:rFonts w:ascii="Times New Roman" w:hAnsi="Times New Roman"/>
                <w:color w:val="000000"/>
                <w:sz w:val="18"/>
                <w:szCs w:val="18"/>
              </w:rPr>
              <w:t>62.9</w:t>
            </w:r>
          </w:p>
        </w:tc>
        <w:tc>
          <w:tcPr>
            <w:tcW w:w="630" w:type="dxa"/>
            <w:tcBorders>
              <w:top w:val="dotted" w:sz="4" w:space="0" w:color="auto"/>
              <w:left w:val="single" w:sz="8" w:space="0" w:color="auto"/>
              <w:bottom w:val="dotted" w:sz="4" w:space="0" w:color="auto"/>
              <w:right w:val="dotted" w:sz="4" w:space="0" w:color="auto"/>
            </w:tcBorders>
            <w:vAlign w:val="center"/>
          </w:tcPr>
          <w:p w14:paraId="076B1431" w14:textId="77777777" w:rsidR="00610B4F" w:rsidRPr="00935615" w:rsidRDefault="00610B4F" w:rsidP="001A3D79">
            <w:pPr>
              <w:jc w:val="right"/>
              <w:rPr>
                <w:rFonts w:ascii="Times New Roman" w:hAnsi="Times New Roman"/>
                <w:color w:val="000000"/>
                <w:sz w:val="18"/>
                <w:szCs w:val="18"/>
              </w:rPr>
            </w:pPr>
            <w:r>
              <w:rPr>
                <w:rFonts w:ascii="Times New Roman" w:eastAsiaTheme="minorEastAsia" w:hAnsi="Times New Roman" w:hint="eastAsia"/>
                <w:color w:val="000000"/>
                <w:sz w:val="18"/>
                <w:szCs w:val="18"/>
                <w:lang w:eastAsia="ko-KR"/>
              </w:rPr>
              <w:t>44.74</w:t>
            </w:r>
          </w:p>
        </w:tc>
        <w:tc>
          <w:tcPr>
            <w:tcW w:w="540" w:type="dxa"/>
            <w:tcBorders>
              <w:top w:val="dotted" w:sz="4" w:space="0" w:color="auto"/>
              <w:left w:val="dotted" w:sz="4" w:space="0" w:color="auto"/>
              <w:bottom w:val="dotted" w:sz="4" w:space="0" w:color="auto"/>
            </w:tcBorders>
            <w:vAlign w:val="center"/>
          </w:tcPr>
          <w:p w14:paraId="31F24DDB" w14:textId="3B5E590C" w:rsidR="00610B4F" w:rsidRPr="00935615" w:rsidRDefault="00610B4F" w:rsidP="001A3D79">
            <w:pPr>
              <w:jc w:val="right"/>
              <w:rPr>
                <w:rFonts w:ascii="Times New Roman" w:hAnsi="Times New Roman"/>
                <w:color w:val="000000"/>
                <w:sz w:val="18"/>
                <w:szCs w:val="18"/>
              </w:rPr>
            </w:pPr>
            <w:r>
              <w:rPr>
                <w:rFonts w:ascii="Times New Roman" w:eastAsiaTheme="minorEastAsia" w:hAnsi="Times New Roman" w:hint="eastAsia"/>
                <w:color w:val="000000"/>
                <w:sz w:val="18"/>
                <w:szCs w:val="18"/>
                <w:lang w:eastAsia="ko-KR"/>
              </w:rPr>
              <w:t>4</w:t>
            </w:r>
            <w:r w:rsidR="00241E62">
              <w:rPr>
                <w:rFonts w:ascii="Times New Roman" w:eastAsiaTheme="minorEastAsia" w:hAnsi="Times New Roman" w:hint="eastAsia"/>
                <w:color w:val="000000"/>
                <w:sz w:val="18"/>
                <w:szCs w:val="18"/>
                <w:lang w:eastAsia="ko-KR"/>
              </w:rPr>
              <w:t>3.82</w:t>
            </w:r>
          </w:p>
        </w:tc>
        <w:tc>
          <w:tcPr>
            <w:tcW w:w="630" w:type="dxa"/>
            <w:tcBorders>
              <w:top w:val="dotted" w:sz="4" w:space="0" w:color="auto"/>
              <w:bottom w:val="dotted" w:sz="4" w:space="0" w:color="auto"/>
            </w:tcBorders>
            <w:vAlign w:val="center"/>
          </w:tcPr>
          <w:p w14:paraId="37A18AEC" w14:textId="3AA87237" w:rsidR="00610B4F" w:rsidRPr="00676A92" w:rsidRDefault="00676A92"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-2.1</w:t>
            </w:r>
          </w:p>
        </w:tc>
        <w:tc>
          <w:tcPr>
            <w:tcW w:w="540" w:type="dxa"/>
            <w:tcBorders>
              <w:top w:val="dotted" w:sz="4" w:space="0" w:color="auto"/>
              <w:bottom w:val="dotted" w:sz="4" w:space="0" w:color="auto"/>
              <w:right w:val="dotted" w:sz="4" w:space="0" w:color="auto"/>
            </w:tcBorders>
            <w:vAlign w:val="center"/>
          </w:tcPr>
          <w:p w14:paraId="4B5B5AB2" w14:textId="2979F48B" w:rsidR="00610B4F" w:rsidRPr="00935615" w:rsidRDefault="00610B4F" w:rsidP="001A3D79">
            <w:pPr>
              <w:jc w:val="right"/>
              <w:rPr>
                <w:rFonts w:ascii="Times New Roman" w:hAnsi="Times New Roman"/>
                <w:color w:val="000000"/>
                <w:sz w:val="18"/>
                <w:szCs w:val="18"/>
              </w:rPr>
            </w:pPr>
            <w:r>
              <w:rPr>
                <w:rFonts w:ascii="Times New Roman" w:eastAsiaTheme="minorEastAsia" w:hAnsi="Times New Roman" w:hint="eastAsia"/>
                <w:color w:val="000000"/>
                <w:sz w:val="18"/>
                <w:szCs w:val="18"/>
                <w:lang w:eastAsia="ko-KR"/>
              </w:rPr>
              <w:t>-1</w:t>
            </w:r>
            <w:r w:rsidR="00002864">
              <w:rPr>
                <w:rFonts w:ascii="Times New Roman" w:eastAsiaTheme="minorEastAsia" w:hAnsi="Times New Roman" w:hint="eastAsia"/>
                <w:color w:val="000000"/>
                <w:sz w:val="18"/>
                <w:szCs w:val="18"/>
                <w:lang w:eastAsia="ko-KR"/>
              </w:rPr>
              <w:t>0.1</w:t>
            </w:r>
          </w:p>
        </w:tc>
        <w:tc>
          <w:tcPr>
            <w:tcW w:w="540" w:type="dxa"/>
            <w:tcBorders>
              <w:top w:val="dotted" w:sz="4" w:space="0" w:color="auto"/>
              <w:left w:val="dotted" w:sz="4" w:space="0" w:color="auto"/>
              <w:bottom w:val="dotted" w:sz="4" w:space="0" w:color="auto"/>
              <w:right w:val="dotted" w:sz="4" w:space="0" w:color="auto"/>
            </w:tcBorders>
            <w:vAlign w:val="center"/>
          </w:tcPr>
          <w:p w14:paraId="0AB34C23" w14:textId="0049A6BD" w:rsidR="00610B4F"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w:t>
            </w:r>
            <w:r w:rsidR="00002864">
              <w:rPr>
                <w:rFonts w:ascii="Times New Roman" w:eastAsiaTheme="minorEastAsia" w:hAnsi="Times New Roman" w:hint="eastAsia"/>
                <w:color w:val="000000"/>
                <w:sz w:val="18"/>
                <w:szCs w:val="18"/>
                <w:lang w:eastAsia="ko-KR"/>
              </w:rPr>
              <w:t>46.6</w:t>
            </w:r>
          </w:p>
        </w:tc>
        <w:tc>
          <w:tcPr>
            <w:tcW w:w="630" w:type="dxa"/>
            <w:tcBorders>
              <w:top w:val="dotted" w:sz="4" w:space="0" w:color="auto"/>
              <w:left w:val="dotted" w:sz="4" w:space="0" w:color="auto"/>
              <w:bottom w:val="dotted" w:sz="4" w:space="0" w:color="auto"/>
              <w:right w:val="double" w:sz="4" w:space="0" w:color="auto"/>
            </w:tcBorders>
            <w:vAlign w:val="center"/>
          </w:tcPr>
          <w:p w14:paraId="1B7C9CA8" w14:textId="0A87C08E" w:rsidR="00610B4F" w:rsidRPr="00935615" w:rsidRDefault="00610B4F" w:rsidP="001A3D79">
            <w:pPr>
              <w:jc w:val="right"/>
              <w:rPr>
                <w:rFonts w:ascii="Times New Roman" w:hAnsi="Times New Roman"/>
                <w:color w:val="000000"/>
                <w:sz w:val="18"/>
                <w:szCs w:val="18"/>
              </w:rPr>
            </w:pPr>
            <w:r>
              <w:rPr>
                <w:rFonts w:ascii="Times New Roman" w:eastAsiaTheme="minorEastAsia" w:hAnsi="Times New Roman" w:hint="eastAsia"/>
                <w:color w:val="000000"/>
                <w:sz w:val="18"/>
                <w:szCs w:val="18"/>
                <w:lang w:eastAsia="ko-KR"/>
              </w:rPr>
              <w:t>-</w:t>
            </w:r>
            <w:r w:rsidR="00002864">
              <w:rPr>
                <w:rFonts w:ascii="Times New Roman" w:eastAsiaTheme="minorEastAsia" w:hAnsi="Times New Roman" w:hint="eastAsia"/>
                <w:color w:val="000000"/>
                <w:sz w:val="18"/>
                <w:szCs w:val="18"/>
                <w:lang w:eastAsia="ko-KR"/>
              </w:rPr>
              <w:t>43.3</w:t>
            </w:r>
          </w:p>
        </w:tc>
      </w:tr>
      <w:tr w:rsidR="00610B4F" w14:paraId="514E70EF" w14:textId="77777777" w:rsidTr="003958E9">
        <w:trPr>
          <w:trHeight w:val="152"/>
        </w:trPr>
        <w:tc>
          <w:tcPr>
            <w:tcW w:w="1425" w:type="dxa"/>
            <w:vMerge/>
            <w:tcBorders>
              <w:top w:val="dotted" w:sz="4" w:space="0" w:color="auto"/>
              <w:left w:val="double" w:sz="4" w:space="0" w:color="auto"/>
              <w:bottom w:val="dotted" w:sz="4" w:space="0" w:color="auto"/>
              <w:right w:val="dotted" w:sz="4" w:space="0" w:color="auto"/>
            </w:tcBorders>
            <w:vAlign w:val="center"/>
          </w:tcPr>
          <w:p w14:paraId="0E3F333F" w14:textId="77777777" w:rsidR="00610B4F" w:rsidRPr="00C945C7" w:rsidRDefault="00610B4F" w:rsidP="001A3D79">
            <w:pPr>
              <w:spacing w:line="276" w:lineRule="auto"/>
              <w:rPr>
                <w:rFonts w:ascii="Times New Roman" w:eastAsiaTheme="minorEastAsia" w:hAnsi="Times New Roman"/>
                <w:b/>
                <w:bCs/>
                <w:noProof/>
                <w:sz w:val="18"/>
                <w:szCs w:val="18"/>
                <w:lang w:eastAsia="ko-KR"/>
              </w:rPr>
            </w:pPr>
          </w:p>
        </w:tc>
        <w:tc>
          <w:tcPr>
            <w:tcW w:w="1350" w:type="dxa"/>
            <w:vMerge/>
            <w:tcBorders>
              <w:top w:val="dotted" w:sz="4" w:space="0" w:color="auto"/>
              <w:left w:val="dotted" w:sz="4" w:space="0" w:color="auto"/>
              <w:bottom w:val="dotted" w:sz="4" w:space="0" w:color="auto"/>
              <w:right w:val="dotted" w:sz="4" w:space="0" w:color="auto"/>
            </w:tcBorders>
            <w:vAlign w:val="center"/>
          </w:tcPr>
          <w:p w14:paraId="299DC1B1" w14:textId="77777777" w:rsidR="00610B4F" w:rsidRPr="00C945C7" w:rsidRDefault="00610B4F" w:rsidP="001A3D79">
            <w:pPr>
              <w:spacing w:line="276" w:lineRule="auto"/>
              <w:rPr>
                <w:rFonts w:ascii="Times New Roman" w:eastAsiaTheme="minorEastAsia" w:hAnsi="Times New Roman"/>
                <w:b/>
                <w:bCs/>
                <w:noProof/>
                <w:sz w:val="18"/>
                <w:szCs w:val="18"/>
                <w:lang w:eastAsia="ko-KR"/>
              </w:rPr>
            </w:pPr>
          </w:p>
        </w:tc>
        <w:tc>
          <w:tcPr>
            <w:tcW w:w="1530" w:type="dxa"/>
            <w:tcBorders>
              <w:top w:val="dotted" w:sz="4" w:space="0" w:color="auto"/>
              <w:left w:val="dotted" w:sz="4" w:space="0" w:color="auto"/>
              <w:bottom w:val="dotted" w:sz="4" w:space="0" w:color="auto"/>
              <w:right w:val="single" w:sz="8" w:space="0" w:color="auto"/>
            </w:tcBorders>
            <w:vAlign w:val="center"/>
          </w:tcPr>
          <w:p w14:paraId="241C79EB" w14:textId="77777777" w:rsidR="00610B4F" w:rsidRPr="00C945C7" w:rsidRDefault="00610B4F" w:rsidP="001A3D79">
            <w:pPr>
              <w:spacing w:line="276" w:lineRule="auto"/>
              <w:rPr>
                <w:rFonts w:ascii="Times New Roman" w:eastAsiaTheme="minorEastAsia" w:hAnsi="Times New Roman"/>
                <w:b/>
                <w:bCs/>
                <w:noProof/>
                <w:sz w:val="18"/>
                <w:szCs w:val="18"/>
                <w:lang w:eastAsia="ko-KR"/>
              </w:rPr>
            </w:pPr>
            <w:r w:rsidRPr="00C945C7">
              <w:rPr>
                <w:rFonts w:ascii="Times New Roman" w:eastAsia="Times New Roman" w:hAnsi="Times New Roman"/>
                <w:color w:val="000000"/>
                <w:sz w:val="18"/>
                <w:szCs w:val="18"/>
              </w:rPr>
              <w:t>Three or more adults</w:t>
            </w:r>
            <w:r w:rsidRPr="00C945C7">
              <w:rPr>
                <w:rFonts w:ascii="Times New Roman" w:hAnsi="Times New Roman" w:hint="eastAsia"/>
                <w:color w:val="000000"/>
                <w:sz w:val="18"/>
                <w:szCs w:val="18"/>
              </w:rPr>
              <w:t xml:space="preserve"> </w:t>
            </w:r>
            <w:r w:rsidRPr="00C945C7">
              <w:rPr>
                <w:rFonts w:ascii="Times New Roman" w:eastAsia="Times New Roman" w:hAnsi="Times New Roman"/>
                <w:color w:val="000000"/>
                <w:sz w:val="18"/>
                <w:szCs w:val="18"/>
              </w:rPr>
              <w:br/>
              <w:t xml:space="preserve">without </w:t>
            </w:r>
            <w:r w:rsidRPr="00C945C7">
              <w:rPr>
                <w:rFonts w:ascii="Times New Roman" w:hAnsi="Times New Roman" w:hint="eastAsia"/>
                <w:color w:val="000000"/>
                <w:sz w:val="18"/>
                <w:szCs w:val="18"/>
              </w:rPr>
              <w:t>child</w:t>
            </w:r>
          </w:p>
        </w:tc>
        <w:tc>
          <w:tcPr>
            <w:tcW w:w="720" w:type="dxa"/>
            <w:tcBorders>
              <w:top w:val="dotted" w:sz="4" w:space="0" w:color="auto"/>
              <w:left w:val="single" w:sz="8" w:space="0" w:color="auto"/>
              <w:bottom w:val="dotted" w:sz="4" w:space="0" w:color="auto"/>
              <w:right w:val="dotted" w:sz="4" w:space="0" w:color="auto"/>
            </w:tcBorders>
            <w:vAlign w:val="center"/>
          </w:tcPr>
          <w:p w14:paraId="737E054F" w14:textId="77777777" w:rsidR="00610B4F" w:rsidRPr="00687B20"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0.31</w:t>
            </w:r>
          </w:p>
        </w:tc>
        <w:tc>
          <w:tcPr>
            <w:tcW w:w="630" w:type="dxa"/>
            <w:tcBorders>
              <w:top w:val="dotted" w:sz="4" w:space="0" w:color="auto"/>
              <w:left w:val="dotted" w:sz="4" w:space="0" w:color="auto"/>
              <w:bottom w:val="dotted" w:sz="4" w:space="0" w:color="auto"/>
              <w:right w:val="single" w:sz="6" w:space="0" w:color="auto"/>
            </w:tcBorders>
            <w:vAlign w:val="center"/>
          </w:tcPr>
          <w:p w14:paraId="449E98D7" w14:textId="77777777" w:rsidR="00610B4F" w:rsidRPr="00687B20"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0.31</w:t>
            </w:r>
          </w:p>
        </w:tc>
        <w:tc>
          <w:tcPr>
            <w:tcW w:w="630" w:type="dxa"/>
            <w:tcBorders>
              <w:top w:val="dotted" w:sz="4" w:space="0" w:color="auto"/>
              <w:left w:val="single" w:sz="6" w:space="0" w:color="auto"/>
              <w:bottom w:val="dotted" w:sz="4" w:space="0" w:color="auto"/>
              <w:right w:val="single" w:sz="8" w:space="0" w:color="auto"/>
            </w:tcBorders>
            <w:vAlign w:val="center"/>
          </w:tcPr>
          <w:p w14:paraId="135A54BD" w14:textId="77777777" w:rsidR="00610B4F" w:rsidRPr="00691990" w:rsidRDefault="00610B4F" w:rsidP="001A3D79">
            <w:pPr>
              <w:jc w:val="right"/>
              <w:rPr>
                <w:rFonts w:ascii="Times New Roman" w:hAnsi="Times New Roman"/>
                <w:color w:val="000000"/>
                <w:sz w:val="18"/>
                <w:szCs w:val="18"/>
              </w:rPr>
            </w:pPr>
            <w:r w:rsidRPr="00691990">
              <w:rPr>
                <w:rFonts w:ascii="Times New Roman" w:hAnsi="Times New Roman" w:hint="eastAsia"/>
                <w:color w:val="000000"/>
                <w:sz w:val="18"/>
                <w:szCs w:val="18"/>
              </w:rPr>
              <w:t>0.0</w:t>
            </w:r>
          </w:p>
        </w:tc>
        <w:tc>
          <w:tcPr>
            <w:tcW w:w="623" w:type="dxa"/>
            <w:tcBorders>
              <w:top w:val="dotted" w:sz="4" w:space="0" w:color="auto"/>
              <w:left w:val="single" w:sz="8" w:space="0" w:color="auto"/>
              <w:bottom w:val="dotted" w:sz="4" w:space="0" w:color="auto"/>
              <w:right w:val="dotted" w:sz="4" w:space="0" w:color="auto"/>
            </w:tcBorders>
            <w:vAlign w:val="center"/>
          </w:tcPr>
          <w:p w14:paraId="0B7187F7" w14:textId="77777777" w:rsidR="00610B4F" w:rsidRPr="00691990" w:rsidRDefault="00610B4F" w:rsidP="001A3D79">
            <w:pPr>
              <w:jc w:val="right"/>
              <w:rPr>
                <w:rFonts w:ascii="Times New Roman" w:hAnsi="Times New Roman"/>
                <w:color w:val="000000"/>
                <w:sz w:val="18"/>
                <w:szCs w:val="18"/>
              </w:rPr>
            </w:pPr>
            <w:r w:rsidRPr="00935615">
              <w:rPr>
                <w:rFonts w:ascii="Times New Roman" w:hAnsi="Times New Roman"/>
                <w:color w:val="000000"/>
                <w:sz w:val="18"/>
                <w:szCs w:val="18"/>
              </w:rPr>
              <w:t>3.77</w:t>
            </w:r>
          </w:p>
        </w:tc>
        <w:tc>
          <w:tcPr>
            <w:tcW w:w="477" w:type="dxa"/>
            <w:tcBorders>
              <w:top w:val="dotted" w:sz="4" w:space="0" w:color="auto"/>
              <w:left w:val="dotted" w:sz="4" w:space="0" w:color="auto"/>
              <w:bottom w:val="dotted" w:sz="4" w:space="0" w:color="auto"/>
            </w:tcBorders>
            <w:vAlign w:val="center"/>
          </w:tcPr>
          <w:p w14:paraId="1D79D624" w14:textId="77777777" w:rsidR="00610B4F" w:rsidRPr="00691990" w:rsidRDefault="00610B4F" w:rsidP="001A3D79">
            <w:pPr>
              <w:jc w:val="right"/>
              <w:rPr>
                <w:rFonts w:ascii="Times New Roman" w:hAnsi="Times New Roman"/>
                <w:color w:val="000000"/>
                <w:sz w:val="18"/>
                <w:szCs w:val="18"/>
              </w:rPr>
            </w:pPr>
            <w:r w:rsidRPr="00935615">
              <w:rPr>
                <w:rFonts w:ascii="Times New Roman" w:hAnsi="Times New Roman"/>
                <w:color w:val="000000"/>
                <w:sz w:val="18"/>
                <w:szCs w:val="18"/>
              </w:rPr>
              <w:t>3.77</w:t>
            </w:r>
          </w:p>
        </w:tc>
        <w:tc>
          <w:tcPr>
            <w:tcW w:w="520" w:type="dxa"/>
            <w:tcBorders>
              <w:top w:val="dotted" w:sz="4" w:space="0" w:color="auto"/>
              <w:bottom w:val="dotted" w:sz="4" w:space="0" w:color="auto"/>
            </w:tcBorders>
            <w:vAlign w:val="center"/>
          </w:tcPr>
          <w:p w14:paraId="6618DA86" w14:textId="77777777" w:rsidR="00610B4F" w:rsidRPr="00691990" w:rsidRDefault="00610B4F" w:rsidP="001A3D79">
            <w:pPr>
              <w:jc w:val="right"/>
              <w:rPr>
                <w:rFonts w:ascii="Times New Roman" w:hAnsi="Times New Roman"/>
                <w:color w:val="000000"/>
                <w:sz w:val="18"/>
                <w:szCs w:val="18"/>
              </w:rPr>
            </w:pPr>
            <w:r w:rsidRPr="00935615">
              <w:rPr>
                <w:rFonts w:ascii="Times New Roman" w:hAnsi="Times New Roman"/>
                <w:color w:val="000000"/>
                <w:sz w:val="18"/>
                <w:szCs w:val="18"/>
              </w:rPr>
              <w:t>0.0</w:t>
            </w:r>
          </w:p>
        </w:tc>
        <w:tc>
          <w:tcPr>
            <w:tcW w:w="720" w:type="dxa"/>
            <w:tcBorders>
              <w:top w:val="dotted" w:sz="4" w:space="0" w:color="auto"/>
              <w:bottom w:val="dotted" w:sz="4" w:space="0" w:color="auto"/>
              <w:right w:val="dotted" w:sz="4" w:space="0" w:color="auto"/>
            </w:tcBorders>
            <w:vAlign w:val="center"/>
          </w:tcPr>
          <w:p w14:paraId="62843067" w14:textId="77777777" w:rsidR="00610B4F" w:rsidRPr="00691990" w:rsidRDefault="00610B4F" w:rsidP="001A3D79">
            <w:pPr>
              <w:jc w:val="right"/>
              <w:rPr>
                <w:rFonts w:ascii="Times New Roman" w:hAnsi="Times New Roman"/>
                <w:color w:val="000000"/>
                <w:sz w:val="18"/>
                <w:szCs w:val="18"/>
              </w:rPr>
            </w:pPr>
            <w:r w:rsidRPr="00935615">
              <w:rPr>
                <w:rFonts w:ascii="Times New Roman" w:hAnsi="Times New Roman"/>
                <w:color w:val="000000"/>
                <w:sz w:val="18"/>
                <w:szCs w:val="18"/>
              </w:rPr>
              <w:t>0.0</w:t>
            </w:r>
          </w:p>
        </w:tc>
        <w:tc>
          <w:tcPr>
            <w:tcW w:w="720" w:type="dxa"/>
            <w:tcBorders>
              <w:top w:val="dotted" w:sz="4" w:space="0" w:color="auto"/>
              <w:left w:val="dotted" w:sz="4" w:space="0" w:color="auto"/>
              <w:bottom w:val="dotted" w:sz="4" w:space="0" w:color="auto"/>
              <w:right w:val="single" w:sz="8" w:space="0" w:color="auto"/>
            </w:tcBorders>
            <w:vAlign w:val="center"/>
          </w:tcPr>
          <w:p w14:paraId="0441C493" w14:textId="77777777" w:rsidR="00610B4F" w:rsidRPr="00691990" w:rsidRDefault="00610B4F" w:rsidP="001A3D79">
            <w:pPr>
              <w:jc w:val="right"/>
              <w:rPr>
                <w:rFonts w:ascii="Times New Roman" w:hAnsi="Times New Roman"/>
                <w:color w:val="000000"/>
                <w:sz w:val="18"/>
                <w:szCs w:val="18"/>
              </w:rPr>
            </w:pPr>
            <w:r w:rsidRPr="00935615">
              <w:rPr>
                <w:rFonts w:ascii="Times New Roman" w:hAnsi="Times New Roman"/>
                <w:color w:val="000000"/>
                <w:sz w:val="18"/>
                <w:szCs w:val="18"/>
              </w:rPr>
              <w:t>0.0</w:t>
            </w:r>
          </w:p>
        </w:tc>
        <w:tc>
          <w:tcPr>
            <w:tcW w:w="630" w:type="dxa"/>
            <w:tcBorders>
              <w:top w:val="dotted" w:sz="4" w:space="0" w:color="auto"/>
              <w:left w:val="single" w:sz="8" w:space="0" w:color="auto"/>
              <w:bottom w:val="dotted" w:sz="4" w:space="0" w:color="auto"/>
              <w:right w:val="dotted" w:sz="4" w:space="0" w:color="auto"/>
            </w:tcBorders>
            <w:vAlign w:val="center"/>
          </w:tcPr>
          <w:p w14:paraId="6A1EF71E" w14:textId="77777777" w:rsidR="00610B4F" w:rsidRPr="00D57A46"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44.74</w:t>
            </w:r>
          </w:p>
        </w:tc>
        <w:tc>
          <w:tcPr>
            <w:tcW w:w="540" w:type="dxa"/>
            <w:tcBorders>
              <w:top w:val="dotted" w:sz="4" w:space="0" w:color="auto"/>
              <w:left w:val="dotted" w:sz="4" w:space="0" w:color="auto"/>
              <w:bottom w:val="dotted" w:sz="4" w:space="0" w:color="auto"/>
            </w:tcBorders>
            <w:vAlign w:val="center"/>
          </w:tcPr>
          <w:p w14:paraId="40FB312F" w14:textId="77777777" w:rsidR="00610B4F" w:rsidRPr="00D57A46"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39.73</w:t>
            </w:r>
          </w:p>
        </w:tc>
        <w:tc>
          <w:tcPr>
            <w:tcW w:w="630" w:type="dxa"/>
            <w:tcBorders>
              <w:top w:val="dotted" w:sz="4" w:space="0" w:color="auto"/>
              <w:bottom w:val="dotted" w:sz="4" w:space="0" w:color="auto"/>
            </w:tcBorders>
            <w:vAlign w:val="center"/>
          </w:tcPr>
          <w:p w14:paraId="7F9AB881" w14:textId="77777777" w:rsidR="00610B4F" w:rsidRPr="00D57A46"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-11.2</w:t>
            </w:r>
          </w:p>
        </w:tc>
        <w:tc>
          <w:tcPr>
            <w:tcW w:w="540" w:type="dxa"/>
            <w:tcBorders>
              <w:top w:val="dotted" w:sz="4" w:space="0" w:color="auto"/>
              <w:bottom w:val="dotted" w:sz="4" w:space="0" w:color="auto"/>
              <w:right w:val="dotted" w:sz="4" w:space="0" w:color="auto"/>
            </w:tcBorders>
            <w:vAlign w:val="center"/>
          </w:tcPr>
          <w:p w14:paraId="6DA5244C" w14:textId="77777777" w:rsidR="00610B4F" w:rsidRPr="00691990" w:rsidRDefault="00610B4F" w:rsidP="001A3D79">
            <w:pPr>
              <w:jc w:val="right"/>
              <w:rPr>
                <w:rFonts w:ascii="Times New Roman" w:hAnsi="Times New Roman"/>
                <w:color w:val="000000"/>
                <w:sz w:val="18"/>
                <w:szCs w:val="18"/>
              </w:rPr>
            </w:pPr>
            <w:r w:rsidRPr="00935615">
              <w:rPr>
                <w:rFonts w:ascii="Times New Roman" w:hAnsi="Times New Roman"/>
                <w:color w:val="000000"/>
                <w:sz w:val="18"/>
                <w:szCs w:val="18"/>
              </w:rPr>
              <w:t>0.0</w:t>
            </w:r>
          </w:p>
        </w:tc>
        <w:tc>
          <w:tcPr>
            <w:tcW w:w="540" w:type="dxa"/>
            <w:tcBorders>
              <w:top w:val="dotted" w:sz="4" w:space="0" w:color="auto"/>
              <w:left w:val="dotted" w:sz="4" w:space="0" w:color="auto"/>
              <w:bottom w:val="dotted" w:sz="4" w:space="0" w:color="auto"/>
              <w:right w:val="dotted" w:sz="4" w:space="0" w:color="auto"/>
            </w:tcBorders>
            <w:vAlign w:val="center"/>
          </w:tcPr>
          <w:p w14:paraId="736E6620" w14:textId="77777777" w:rsidR="00610B4F" w:rsidRPr="00691990" w:rsidRDefault="00610B4F" w:rsidP="001A3D79">
            <w:pPr>
              <w:jc w:val="right"/>
              <w:rPr>
                <w:rFonts w:ascii="Times New Roman" w:hAnsi="Times New Roman"/>
                <w:color w:val="000000"/>
                <w:sz w:val="18"/>
                <w:szCs w:val="18"/>
              </w:rPr>
            </w:pPr>
            <w:r w:rsidRPr="00935615">
              <w:rPr>
                <w:rFonts w:ascii="Times New Roman" w:hAnsi="Times New Roman"/>
                <w:color w:val="000000"/>
                <w:sz w:val="18"/>
                <w:szCs w:val="18"/>
              </w:rPr>
              <w:t>0.0</w:t>
            </w:r>
          </w:p>
        </w:tc>
        <w:tc>
          <w:tcPr>
            <w:tcW w:w="630" w:type="dxa"/>
            <w:tcBorders>
              <w:top w:val="dotted" w:sz="4" w:space="0" w:color="auto"/>
              <w:left w:val="dotted" w:sz="4" w:space="0" w:color="auto"/>
              <w:bottom w:val="dotted" w:sz="4" w:space="0" w:color="auto"/>
              <w:right w:val="double" w:sz="4" w:space="0" w:color="auto"/>
            </w:tcBorders>
            <w:vAlign w:val="center"/>
          </w:tcPr>
          <w:p w14:paraId="6D50D6D4" w14:textId="77777777" w:rsidR="00610B4F" w:rsidRPr="00691990" w:rsidRDefault="00610B4F" w:rsidP="001A3D79">
            <w:pPr>
              <w:jc w:val="right"/>
              <w:rPr>
                <w:rFonts w:ascii="Times New Roman" w:hAnsi="Times New Roman"/>
                <w:color w:val="000000"/>
                <w:sz w:val="18"/>
                <w:szCs w:val="18"/>
              </w:rPr>
            </w:pPr>
            <w:r>
              <w:rPr>
                <w:rFonts w:ascii="Times New Roman" w:eastAsiaTheme="minorEastAsia" w:hAnsi="Times New Roman" w:hint="eastAsia"/>
                <w:color w:val="000000"/>
                <w:sz w:val="18"/>
                <w:szCs w:val="18"/>
                <w:lang w:eastAsia="ko-KR"/>
              </w:rPr>
              <w:t>-</w:t>
            </w:r>
            <w:r w:rsidRPr="00935615">
              <w:rPr>
                <w:rFonts w:ascii="Times New Roman" w:hAnsi="Times New Roman"/>
                <w:color w:val="000000"/>
                <w:sz w:val="18"/>
                <w:szCs w:val="18"/>
              </w:rPr>
              <w:t>100.0</w:t>
            </w:r>
          </w:p>
        </w:tc>
      </w:tr>
      <w:tr w:rsidR="00610B4F" w14:paraId="6397B8ED" w14:textId="77777777" w:rsidTr="003958E9">
        <w:trPr>
          <w:trHeight w:val="152"/>
        </w:trPr>
        <w:tc>
          <w:tcPr>
            <w:tcW w:w="1425" w:type="dxa"/>
            <w:vMerge/>
            <w:tcBorders>
              <w:top w:val="dotted" w:sz="4" w:space="0" w:color="auto"/>
              <w:left w:val="double" w:sz="4" w:space="0" w:color="auto"/>
              <w:bottom w:val="dotted" w:sz="4" w:space="0" w:color="auto"/>
              <w:right w:val="dotted" w:sz="4" w:space="0" w:color="auto"/>
            </w:tcBorders>
            <w:vAlign w:val="center"/>
          </w:tcPr>
          <w:p w14:paraId="494F6CA5" w14:textId="77777777" w:rsidR="00610B4F" w:rsidRPr="00C945C7" w:rsidRDefault="00610B4F" w:rsidP="001A3D79">
            <w:pPr>
              <w:spacing w:line="276" w:lineRule="auto"/>
              <w:rPr>
                <w:rFonts w:ascii="Times New Roman" w:eastAsiaTheme="minorEastAsia" w:hAnsi="Times New Roman"/>
                <w:b/>
                <w:bCs/>
                <w:noProof/>
                <w:sz w:val="18"/>
                <w:szCs w:val="18"/>
                <w:lang w:eastAsia="ko-KR"/>
              </w:rPr>
            </w:pPr>
          </w:p>
        </w:tc>
        <w:tc>
          <w:tcPr>
            <w:tcW w:w="1350" w:type="dxa"/>
            <w:vMerge/>
            <w:tcBorders>
              <w:top w:val="dotted" w:sz="4" w:space="0" w:color="auto"/>
              <w:left w:val="dotted" w:sz="4" w:space="0" w:color="auto"/>
              <w:bottom w:val="dotted" w:sz="4" w:space="0" w:color="auto"/>
              <w:right w:val="dotted" w:sz="4" w:space="0" w:color="auto"/>
            </w:tcBorders>
            <w:vAlign w:val="center"/>
          </w:tcPr>
          <w:p w14:paraId="0707DE65" w14:textId="77777777" w:rsidR="00610B4F" w:rsidRPr="00C945C7" w:rsidRDefault="00610B4F" w:rsidP="001A3D79">
            <w:pPr>
              <w:spacing w:line="276" w:lineRule="auto"/>
              <w:rPr>
                <w:rFonts w:ascii="Times New Roman" w:eastAsiaTheme="minorEastAsia" w:hAnsi="Times New Roman"/>
                <w:b/>
                <w:bCs/>
                <w:noProof/>
                <w:sz w:val="18"/>
                <w:szCs w:val="18"/>
                <w:lang w:eastAsia="ko-KR"/>
              </w:rPr>
            </w:pPr>
          </w:p>
        </w:tc>
        <w:tc>
          <w:tcPr>
            <w:tcW w:w="1530" w:type="dxa"/>
            <w:tcBorders>
              <w:top w:val="dotted" w:sz="4" w:space="0" w:color="auto"/>
              <w:left w:val="dotted" w:sz="4" w:space="0" w:color="auto"/>
              <w:bottom w:val="dotted" w:sz="4" w:space="0" w:color="auto"/>
              <w:right w:val="single" w:sz="8" w:space="0" w:color="auto"/>
            </w:tcBorders>
            <w:vAlign w:val="center"/>
          </w:tcPr>
          <w:p w14:paraId="53EB841C" w14:textId="77777777" w:rsidR="00610B4F" w:rsidRPr="00C945C7" w:rsidRDefault="00610B4F" w:rsidP="001A3D79">
            <w:pPr>
              <w:spacing w:line="276" w:lineRule="auto"/>
              <w:rPr>
                <w:rFonts w:ascii="Times New Roman" w:eastAsiaTheme="minorEastAsia" w:hAnsi="Times New Roman"/>
                <w:b/>
                <w:bCs/>
                <w:noProof/>
                <w:sz w:val="18"/>
                <w:szCs w:val="18"/>
                <w:lang w:eastAsia="ko-KR"/>
              </w:rPr>
            </w:pPr>
            <w:r w:rsidRPr="00C945C7">
              <w:rPr>
                <w:rFonts w:ascii="Times New Roman" w:eastAsia="Times New Roman" w:hAnsi="Times New Roman"/>
                <w:color w:val="000000"/>
                <w:sz w:val="18"/>
                <w:szCs w:val="18"/>
              </w:rPr>
              <w:t>Three or more</w:t>
            </w:r>
            <w:r w:rsidRPr="00C945C7">
              <w:rPr>
                <w:rFonts w:ascii="Times New Roman" w:hAnsi="Times New Roman" w:hint="eastAsia"/>
                <w:color w:val="000000"/>
                <w:sz w:val="18"/>
                <w:szCs w:val="18"/>
              </w:rPr>
              <w:t xml:space="preserve"> </w:t>
            </w:r>
            <w:r w:rsidRPr="00C945C7">
              <w:rPr>
                <w:rFonts w:ascii="Times New Roman" w:eastAsia="Times New Roman" w:hAnsi="Times New Roman"/>
                <w:color w:val="000000"/>
                <w:sz w:val="18"/>
                <w:szCs w:val="18"/>
              </w:rPr>
              <w:t>adults</w:t>
            </w:r>
            <w:r w:rsidRPr="00C945C7">
              <w:rPr>
                <w:rFonts w:ascii="Times New Roman" w:hAnsi="Times New Roman" w:hint="eastAsia"/>
                <w:color w:val="000000"/>
                <w:sz w:val="18"/>
                <w:szCs w:val="18"/>
              </w:rPr>
              <w:t xml:space="preserve"> </w:t>
            </w:r>
            <w:r w:rsidRPr="00C945C7">
              <w:rPr>
                <w:rFonts w:ascii="Times New Roman" w:eastAsia="Times New Roman" w:hAnsi="Times New Roman"/>
                <w:color w:val="000000"/>
                <w:sz w:val="18"/>
                <w:szCs w:val="18"/>
              </w:rPr>
              <w:t xml:space="preserve">with </w:t>
            </w:r>
            <w:r w:rsidRPr="00C945C7">
              <w:rPr>
                <w:rFonts w:ascii="Times New Roman" w:hAnsi="Times New Roman" w:hint="eastAsia"/>
                <w:color w:val="000000"/>
                <w:sz w:val="18"/>
                <w:szCs w:val="18"/>
              </w:rPr>
              <w:t>child</w:t>
            </w:r>
          </w:p>
        </w:tc>
        <w:tc>
          <w:tcPr>
            <w:tcW w:w="720" w:type="dxa"/>
            <w:tcBorders>
              <w:top w:val="dotted" w:sz="4" w:space="0" w:color="auto"/>
              <w:left w:val="single" w:sz="8" w:space="0" w:color="auto"/>
              <w:bottom w:val="dotted" w:sz="4" w:space="0" w:color="auto"/>
              <w:right w:val="dotted" w:sz="4" w:space="0" w:color="auto"/>
            </w:tcBorders>
            <w:vAlign w:val="center"/>
          </w:tcPr>
          <w:p w14:paraId="0D380196" w14:textId="77777777" w:rsidR="00610B4F" w:rsidRPr="00691990" w:rsidRDefault="00610B4F" w:rsidP="001A3D79">
            <w:pPr>
              <w:jc w:val="right"/>
              <w:rPr>
                <w:rFonts w:ascii="Times New Roman" w:hAnsi="Times New Roman"/>
                <w:color w:val="000000"/>
                <w:sz w:val="18"/>
                <w:szCs w:val="18"/>
              </w:rPr>
            </w:pPr>
            <w:r>
              <w:rPr>
                <w:rFonts w:ascii="Times New Roman" w:eastAsiaTheme="minorEastAsia" w:hAnsi="Times New Roman" w:hint="eastAsia"/>
                <w:color w:val="000000"/>
                <w:sz w:val="18"/>
                <w:szCs w:val="18"/>
                <w:lang w:eastAsia="ko-KR"/>
              </w:rPr>
              <w:t>0.31</w:t>
            </w:r>
          </w:p>
        </w:tc>
        <w:tc>
          <w:tcPr>
            <w:tcW w:w="630" w:type="dxa"/>
            <w:tcBorders>
              <w:top w:val="dotted" w:sz="4" w:space="0" w:color="auto"/>
              <w:left w:val="dotted" w:sz="4" w:space="0" w:color="auto"/>
              <w:bottom w:val="dotted" w:sz="4" w:space="0" w:color="auto"/>
              <w:right w:val="single" w:sz="6" w:space="0" w:color="auto"/>
            </w:tcBorders>
            <w:vAlign w:val="center"/>
          </w:tcPr>
          <w:p w14:paraId="38A1A20C" w14:textId="77777777" w:rsidR="00610B4F" w:rsidRPr="00691990" w:rsidRDefault="00610B4F" w:rsidP="001A3D79">
            <w:pPr>
              <w:jc w:val="right"/>
              <w:rPr>
                <w:rFonts w:ascii="Times New Roman" w:hAnsi="Times New Roman"/>
                <w:color w:val="000000"/>
                <w:sz w:val="18"/>
                <w:szCs w:val="18"/>
              </w:rPr>
            </w:pPr>
            <w:r>
              <w:rPr>
                <w:rFonts w:ascii="Times New Roman" w:eastAsiaTheme="minorEastAsia" w:hAnsi="Times New Roman" w:hint="eastAsia"/>
                <w:color w:val="000000"/>
                <w:sz w:val="18"/>
                <w:szCs w:val="18"/>
                <w:lang w:eastAsia="ko-KR"/>
              </w:rPr>
              <w:t>0.40</w:t>
            </w:r>
          </w:p>
        </w:tc>
        <w:tc>
          <w:tcPr>
            <w:tcW w:w="630" w:type="dxa"/>
            <w:tcBorders>
              <w:top w:val="dotted" w:sz="4" w:space="0" w:color="auto"/>
              <w:left w:val="single" w:sz="6" w:space="0" w:color="auto"/>
              <w:bottom w:val="dotted" w:sz="4" w:space="0" w:color="auto"/>
              <w:right w:val="single" w:sz="8" w:space="0" w:color="auto"/>
            </w:tcBorders>
            <w:vAlign w:val="center"/>
          </w:tcPr>
          <w:p w14:paraId="2BD275EF" w14:textId="77777777" w:rsidR="00610B4F" w:rsidRPr="00C70673"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29.0</w:t>
            </w:r>
          </w:p>
        </w:tc>
        <w:tc>
          <w:tcPr>
            <w:tcW w:w="623" w:type="dxa"/>
            <w:tcBorders>
              <w:top w:val="dotted" w:sz="4" w:space="0" w:color="auto"/>
              <w:left w:val="single" w:sz="8" w:space="0" w:color="auto"/>
              <w:bottom w:val="dotted" w:sz="4" w:space="0" w:color="auto"/>
              <w:right w:val="dotted" w:sz="4" w:space="0" w:color="auto"/>
            </w:tcBorders>
            <w:vAlign w:val="center"/>
          </w:tcPr>
          <w:p w14:paraId="440327EB" w14:textId="77777777" w:rsidR="00610B4F" w:rsidRPr="00691990" w:rsidRDefault="00610B4F" w:rsidP="001A3D79">
            <w:pPr>
              <w:jc w:val="right"/>
              <w:rPr>
                <w:rFonts w:ascii="Times New Roman" w:hAnsi="Times New Roman"/>
                <w:color w:val="000000"/>
                <w:sz w:val="18"/>
                <w:szCs w:val="18"/>
              </w:rPr>
            </w:pPr>
            <w:r w:rsidRPr="00935615">
              <w:rPr>
                <w:rFonts w:ascii="Times New Roman" w:hAnsi="Times New Roman"/>
                <w:color w:val="000000"/>
                <w:sz w:val="18"/>
                <w:szCs w:val="18"/>
              </w:rPr>
              <w:t>3.77</w:t>
            </w:r>
          </w:p>
        </w:tc>
        <w:tc>
          <w:tcPr>
            <w:tcW w:w="477" w:type="dxa"/>
            <w:tcBorders>
              <w:top w:val="dotted" w:sz="4" w:space="0" w:color="auto"/>
              <w:left w:val="dotted" w:sz="4" w:space="0" w:color="auto"/>
              <w:bottom w:val="dotted" w:sz="4" w:space="0" w:color="auto"/>
            </w:tcBorders>
            <w:vAlign w:val="center"/>
          </w:tcPr>
          <w:p w14:paraId="481F30E5" w14:textId="77777777" w:rsidR="00610B4F" w:rsidRPr="00691990" w:rsidRDefault="00610B4F" w:rsidP="001A3D79">
            <w:pPr>
              <w:jc w:val="right"/>
              <w:rPr>
                <w:rFonts w:ascii="Times New Roman" w:hAnsi="Times New Roman"/>
                <w:color w:val="000000"/>
                <w:sz w:val="18"/>
                <w:szCs w:val="18"/>
              </w:rPr>
            </w:pPr>
            <w:r w:rsidRPr="00935615">
              <w:rPr>
                <w:rFonts w:ascii="Times New Roman" w:hAnsi="Times New Roman"/>
                <w:color w:val="000000"/>
                <w:sz w:val="18"/>
                <w:szCs w:val="18"/>
              </w:rPr>
              <w:t>3.57</w:t>
            </w:r>
          </w:p>
        </w:tc>
        <w:tc>
          <w:tcPr>
            <w:tcW w:w="520" w:type="dxa"/>
            <w:tcBorders>
              <w:top w:val="dotted" w:sz="4" w:space="0" w:color="auto"/>
              <w:bottom w:val="dotted" w:sz="4" w:space="0" w:color="auto"/>
            </w:tcBorders>
            <w:vAlign w:val="center"/>
          </w:tcPr>
          <w:p w14:paraId="6FA3A8D1" w14:textId="77777777" w:rsidR="00610B4F" w:rsidRPr="00691990" w:rsidRDefault="00610B4F" w:rsidP="001A3D79">
            <w:pPr>
              <w:jc w:val="right"/>
              <w:rPr>
                <w:rFonts w:ascii="Times New Roman" w:hAnsi="Times New Roman"/>
                <w:color w:val="000000"/>
                <w:sz w:val="18"/>
                <w:szCs w:val="18"/>
              </w:rPr>
            </w:pPr>
            <w:r w:rsidRPr="00935615">
              <w:rPr>
                <w:rFonts w:ascii="Times New Roman" w:hAnsi="Times New Roman"/>
                <w:color w:val="000000"/>
                <w:sz w:val="18"/>
                <w:szCs w:val="18"/>
              </w:rPr>
              <w:t>-5.</w:t>
            </w:r>
            <w:r>
              <w:rPr>
                <w:rFonts w:ascii="Times New Roman" w:eastAsiaTheme="minorEastAsia" w:hAnsi="Times New Roman" w:hint="eastAsia"/>
                <w:color w:val="000000"/>
                <w:sz w:val="18"/>
                <w:szCs w:val="18"/>
                <w:lang w:eastAsia="ko-KR"/>
              </w:rPr>
              <w:t>3</w:t>
            </w:r>
          </w:p>
        </w:tc>
        <w:tc>
          <w:tcPr>
            <w:tcW w:w="720" w:type="dxa"/>
            <w:tcBorders>
              <w:top w:val="dotted" w:sz="4" w:space="0" w:color="auto"/>
              <w:bottom w:val="dotted" w:sz="4" w:space="0" w:color="auto"/>
              <w:right w:val="dotted" w:sz="4" w:space="0" w:color="auto"/>
            </w:tcBorders>
            <w:vAlign w:val="center"/>
          </w:tcPr>
          <w:p w14:paraId="74903BC7" w14:textId="77777777" w:rsidR="00610B4F" w:rsidRPr="00691990" w:rsidRDefault="00610B4F" w:rsidP="001A3D79">
            <w:pPr>
              <w:jc w:val="right"/>
              <w:rPr>
                <w:rFonts w:ascii="Times New Roman" w:hAnsi="Times New Roman"/>
                <w:color w:val="000000"/>
                <w:sz w:val="18"/>
                <w:szCs w:val="18"/>
              </w:rPr>
            </w:pPr>
            <w:r>
              <w:rPr>
                <w:rFonts w:ascii="Times New Roman" w:eastAsiaTheme="minorEastAsia" w:hAnsi="Times New Roman" w:hint="eastAsia"/>
                <w:color w:val="000000"/>
                <w:sz w:val="18"/>
                <w:szCs w:val="18"/>
                <w:lang w:eastAsia="ko-KR"/>
              </w:rPr>
              <w:t>+</w:t>
            </w:r>
            <w:r w:rsidRPr="00935615">
              <w:rPr>
                <w:rFonts w:ascii="Times New Roman" w:hAnsi="Times New Roman"/>
                <w:color w:val="000000"/>
                <w:sz w:val="18"/>
                <w:szCs w:val="18"/>
              </w:rPr>
              <w:t>37.1</w:t>
            </w:r>
          </w:p>
        </w:tc>
        <w:tc>
          <w:tcPr>
            <w:tcW w:w="720" w:type="dxa"/>
            <w:tcBorders>
              <w:top w:val="dotted" w:sz="4" w:space="0" w:color="auto"/>
              <w:left w:val="dotted" w:sz="4" w:space="0" w:color="auto"/>
              <w:bottom w:val="dotted" w:sz="4" w:space="0" w:color="auto"/>
              <w:right w:val="single" w:sz="8" w:space="0" w:color="auto"/>
            </w:tcBorders>
            <w:vAlign w:val="center"/>
          </w:tcPr>
          <w:p w14:paraId="5C524A30" w14:textId="77777777" w:rsidR="00610B4F" w:rsidRPr="00691990" w:rsidRDefault="00610B4F" w:rsidP="001A3D79">
            <w:pPr>
              <w:jc w:val="right"/>
              <w:rPr>
                <w:rFonts w:ascii="Times New Roman" w:hAnsi="Times New Roman"/>
                <w:color w:val="000000"/>
                <w:sz w:val="18"/>
                <w:szCs w:val="18"/>
              </w:rPr>
            </w:pPr>
            <w:r>
              <w:rPr>
                <w:rFonts w:ascii="Times New Roman" w:eastAsiaTheme="minorEastAsia" w:hAnsi="Times New Roman" w:hint="eastAsia"/>
                <w:color w:val="000000"/>
                <w:sz w:val="18"/>
                <w:szCs w:val="18"/>
                <w:lang w:eastAsia="ko-KR"/>
              </w:rPr>
              <w:t>-</w:t>
            </w:r>
            <w:r w:rsidRPr="00935615">
              <w:rPr>
                <w:rFonts w:ascii="Times New Roman" w:hAnsi="Times New Roman"/>
                <w:color w:val="000000"/>
                <w:sz w:val="18"/>
                <w:szCs w:val="18"/>
              </w:rPr>
              <w:t>62.9</w:t>
            </w:r>
          </w:p>
        </w:tc>
        <w:tc>
          <w:tcPr>
            <w:tcW w:w="630" w:type="dxa"/>
            <w:tcBorders>
              <w:top w:val="dotted" w:sz="4" w:space="0" w:color="auto"/>
              <w:left w:val="single" w:sz="8" w:space="0" w:color="auto"/>
              <w:bottom w:val="dotted" w:sz="4" w:space="0" w:color="auto"/>
              <w:right w:val="dotted" w:sz="4" w:space="0" w:color="auto"/>
            </w:tcBorders>
            <w:vAlign w:val="center"/>
          </w:tcPr>
          <w:p w14:paraId="5BF4E7E1" w14:textId="77777777" w:rsidR="00610B4F" w:rsidRPr="00D57A46"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44.74</w:t>
            </w:r>
          </w:p>
        </w:tc>
        <w:tc>
          <w:tcPr>
            <w:tcW w:w="540" w:type="dxa"/>
            <w:tcBorders>
              <w:top w:val="dotted" w:sz="4" w:space="0" w:color="auto"/>
              <w:left w:val="dotted" w:sz="4" w:space="0" w:color="auto"/>
              <w:bottom w:val="dotted" w:sz="4" w:space="0" w:color="auto"/>
            </w:tcBorders>
            <w:vAlign w:val="center"/>
          </w:tcPr>
          <w:p w14:paraId="5D7097C6" w14:textId="75022B1E" w:rsidR="00610B4F" w:rsidRPr="00D57A46"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4</w:t>
            </w:r>
            <w:r w:rsidR="00241E62">
              <w:rPr>
                <w:rFonts w:ascii="Times New Roman" w:eastAsiaTheme="minorEastAsia" w:hAnsi="Times New Roman" w:hint="eastAsia"/>
                <w:color w:val="000000"/>
                <w:sz w:val="18"/>
                <w:szCs w:val="18"/>
                <w:lang w:eastAsia="ko-KR"/>
              </w:rPr>
              <w:t>1.58</w:t>
            </w:r>
          </w:p>
        </w:tc>
        <w:tc>
          <w:tcPr>
            <w:tcW w:w="630" w:type="dxa"/>
            <w:tcBorders>
              <w:top w:val="dotted" w:sz="4" w:space="0" w:color="auto"/>
              <w:bottom w:val="dotted" w:sz="4" w:space="0" w:color="auto"/>
            </w:tcBorders>
            <w:vAlign w:val="center"/>
          </w:tcPr>
          <w:p w14:paraId="437B7C7E" w14:textId="6809158D" w:rsidR="00610B4F" w:rsidRPr="008F491B"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w:t>
            </w:r>
            <w:r w:rsidR="00241E62">
              <w:rPr>
                <w:rFonts w:ascii="Times New Roman" w:eastAsiaTheme="minorEastAsia" w:hAnsi="Times New Roman" w:hint="eastAsia"/>
                <w:color w:val="000000"/>
                <w:sz w:val="18"/>
                <w:szCs w:val="18"/>
                <w:lang w:eastAsia="ko-KR"/>
              </w:rPr>
              <w:t>7.1</w:t>
            </w:r>
          </w:p>
        </w:tc>
        <w:tc>
          <w:tcPr>
            <w:tcW w:w="540" w:type="dxa"/>
            <w:tcBorders>
              <w:top w:val="dotted" w:sz="4" w:space="0" w:color="auto"/>
              <w:bottom w:val="dotted" w:sz="4" w:space="0" w:color="auto"/>
              <w:right w:val="dotted" w:sz="4" w:space="0" w:color="auto"/>
            </w:tcBorders>
            <w:vAlign w:val="center"/>
          </w:tcPr>
          <w:p w14:paraId="7363C763" w14:textId="4BA138EA" w:rsidR="00610B4F" w:rsidRPr="0099234B" w:rsidRDefault="00241E62" w:rsidP="001A3D79">
            <w:pPr>
              <w:jc w:val="right"/>
              <w:rPr>
                <w:rFonts w:ascii="Times New Roman" w:eastAsiaTheme="minorEastAsia" w:hAnsi="Times New Roman"/>
                <w:color w:val="000000"/>
                <w:sz w:val="18"/>
                <w:szCs w:val="18"/>
                <w:lang w:eastAsia="ko-KR"/>
              </w:rPr>
            </w:pPr>
            <w:r w:rsidRPr="0099234B">
              <w:rPr>
                <w:rFonts w:ascii="Times New Roman" w:eastAsiaTheme="minorEastAsia" w:hAnsi="Times New Roman"/>
                <w:color w:val="000000"/>
                <w:sz w:val="18"/>
                <w:szCs w:val="18"/>
                <w:lang w:eastAsia="ko-KR"/>
              </w:rPr>
              <w:t>-8.</w:t>
            </w:r>
            <w:r w:rsidR="0099234B" w:rsidRPr="00D0362F">
              <w:rPr>
                <w:rFonts w:ascii="Times New Roman" w:eastAsiaTheme="minorEastAsia" w:hAnsi="Times New Roman"/>
                <w:color w:val="000000"/>
                <w:sz w:val="18"/>
                <w:szCs w:val="18"/>
                <w:lang w:eastAsia="ko-KR"/>
              </w:rPr>
              <w:t>7</w:t>
            </w:r>
          </w:p>
        </w:tc>
        <w:tc>
          <w:tcPr>
            <w:tcW w:w="540" w:type="dxa"/>
            <w:tcBorders>
              <w:top w:val="dotted" w:sz="4" w:space="0" w:color="auto"/>
              <w:left w:val="dotted" w:sz="4" w:space="0" w:color="auto"/>
              <w:bottom w:val="dotted" w:sz="4" w:space="0" w:color="auto"/>
              <w:right w:val="dotted" w:sz="4" w:space="0" w:color="auto"/>
            </w:tcBorders>
            <w:vAlign w:val="center"/>
          </w:tcPr>
          <w:p w14:paraId="55E50418" w14:textId="05707191" w:rsidR="00610B4F" w:rsidRPr="0099234B" w:rsidRDefault="00241E62" w:rsidP="001A3D79">
            <w:pPr>
              <w:jc w:val="right"/>
              <w:rPr>
                <w:rFonts w:ascii="Times New Roman" w:eastAsiaTheme="minorEastAsia" w:hAnsi="Times New Roman"/>
                <w:color w:val="000000"/>
                <w:sz w:val="18"/>
                <w:szCs w:val="18"/>
                <w:lang w:eastAsia="ko-KR"/>
              </w:rPr>
            </w:pPr>
            <w:r w:rsidRPr="0099234B">
              <w:rPr>
                <w:rFonts w:ascii="Times New Roman" w:eastAsiaTheme="minorEastAsia" w:hAnsi="Times New Roman"/>
                <w:color w:val="000000"/>
                <w:sz w:val="18"/>
                <w:szCs w:val="18"/>
                <w:lang w:eastAsia="ko-KR"/>
              </w:rPr>
              <w:t>+39.</w:t>
            </w:r>
            <w:r w:rsidR="009D1272" w:rsidRPr="00D0362F">
              <w:rPr>
                <w:rFonts w:ascii="Times New Roman" w:eastAsiaTheme="minorEastAsia" w:hAnsi="Times New Roman"/>
                <w:color w:val="000000"/>
                <w:sz w:val="18"/>
                <w:szCs w:val="18"/>
                <w:lang w:eastAsia="ko-KR"/>
              </w:rPr>
              <w:t>9</w:t>
            </w:r>
          </w:p>
        </w:tc>
        <w:tc>
          <w:tcPr>
            <w:tcW w:w="630" w:type="dxa"/>
            <w:tcBorders>
              <w:top w:val="dotted" w:sz="4" w:space="0" w:color="auto"/>
              <w:left w:val="dotted" w:sz="4" w:space="0" w:color="auto"/>
              <w:bottom w:val="dotted" w:sz="4" w:space="0" w:color="auto"/>
              <w:right w:val="double" w:sz="4" w:space="0" w:color="auto"/>
            </w:tcBorders>
            <w:vAlign w:val="center"/>
          </w:tcPr>
          <w:p w14:paraId="4DDAF28C" w14:textId="26A86FF6" w:rsidR="00610B4F" w:rsidRPr="0099234B" w:rsidRDefault="00002864" w:rsidP="001A3D79">
            <w:pPr>
              <w:jc w:val="right"/>
              <w:rPr>
                <w:rFonts w:ascii="Times New Roman" w:eastAsiaTheme="minorEastAsia" w:hAnsi="Times New Roman"/>
                <w:color w:val="000000"/>
                <w:sz w:val="18"/>
                <w:szCs w:val="18"/>
                <w:lang w:eastAsia="ko-KR"/>
              </w:rPr>
            </w:pPr>
            <w:r w:rsidRPr="0099234B">
              <w:rPr>
                <w:rFonts w:ascii="Times New Roman" w:eastAsiaTheme="minorEastAsia" w:hAnsi="Times New Roman"/>
                <w:color w:val="000000"/>
                <w:sz w:val="18"/>
                <w:szCs w:val="18"/>
                <w:lang w:eastAsia="ko-KR"/>
              </w:rPr>
              <w:t>-</w:t>
            </w:r>
            <w:r w:rsidR="00241E62" w:rsidRPr="0099234B">
              <w:rPr>
                <w:rFonts w:ascii="Times New Roman" w:eastAsiaTheme="minorEastAsia" w:hAnsi="Times New Roman"/>
                <w:color w:val="000000"/>
                <w:sz w:val="18"/>
                <w:szCs w:val="18"/>
                <w:lang w:eastAsia="ko-KR"/>
              </w:rPr>
              <w:t>51.4</w:t>
            </w:r>
          </w:p>
        </w:tc>
      </w:tr>
      <w:tr w:rsidR="00610B4F" w14:paraId="22AA3C3E" w14:textId="77777777" w:rsidTr="003958E9">
        <w:trPr>
          <w:trHeight w:val="280"/>
        </w:trPr>
        <w:tc>
          <w:tcPr>
            <w:tcW w:w="1425" w:type="dxa"/>
            <w:tcBorders>
              <w:top w:val="dotted" w:sz="4" w:space="0" w:color="auto"/>
              <w:left w:val="double" w:sz="4" w:space="0" w:color="auto"/>
              <w:right w:val="dotted" w:sz="4" w:space="0" w:color="auto"/>
            </w:tcBorders>
            <w:vAlign w:val="center"/>
          </w:tcPr>
          <w:p w14:paraId="4E9E54A8" w14:textId="77777777" w:rsidR="00610B4F" w:rsidRPr="00C945C7" w:rsidRDefault="00610B4F" w:rsidP="001A3D79">
            <w:pPr>
              <w:spacing w:line="276" w:lineRule="auto"/>
              <w:rPr>
                <w:rFonts w:ascii="Times New Roman" w:eastAsiaTheme="minorEastAsia" w:hAnsi="Times New Roman"/>
                <w:b/>
                <w:bCs/>
                <w:noProof/>
                <w:sz w:val="18"/>
                <w:szCs w:val="18"/>
                <w:lang w:eastAsia="ko-KR"/>
              </w:rPr>
            </w:pPr>
            <w:r w:rsidRPr="00C945C7">
              <w:rPr>
                <w:rFonts w:ascii="Times New Roman" w:eastAsia="Times New Roman" w:hAnsi="Times New Roman"/>
                <w:color w:val="000000"/>
                <w:sz w:val="18"/>
                <w:szCs w:val="18"/>
              </w:rPr>
              <w:t>Household income</w:t>
            </w:r>
          </w:p>
        </w:tc>
        <w:tc>
          <w:tcPr>
            <w:tcW w:w="1350" w:type="dxa"/>
            <w:tcBorders>
              <w:top w:val="dotted" w:sz="4" w:space="0" w:color="auto"/>
              <w:left w:val="dotted" w:sz="4" w:space="0" w:color="auto"/>
              <w:right w:val="dotted" w:sz="4" w:space="0" w:color="auto"/>
            </w:tcBorders>
            <w:vAlign w:val="center"/>
          </w:tcPr>
          <w:p w14:paraId="2B2294D6" w14:textId="02FEF549" w:rsidR="00610B4F" w:rsidRPr="00C945C7" w:rsidRDefault="00610B4F" w:rsidP="001A3D79">
            <w:pPr>
              <w:spacing w:line="276" w:lineRule="auto"/>
              <w:rPr>
                <w:rFonts w:ascii="Times New Roman" w:eastAsiaTheme="minorEastAsia" w:hAnsi="Times New Roman"/>
                <w:b/>
                <w:bCs/>
                <w:noProof/>
                <w:sz w:val="18"/>
                <w:szCs w:val="18"/>
                <w:lang w:eastAsia="ko-KR"/>
              </w:rPr>
            </w:pPr>
            <w:r w:rsidRPr="00C945C7">
              <w:rPr>
                <w:rFonts w:ascii="Times New Roman" w:hAnsi="Times New Roman" w:hint="eastAsia"/>
                <w:color w:val="000000"/>
                <w:sz w:val="18"/>
                <w:szCs w:val="18"/>
              </w:rPr>
              <w:t>$100,000</w:t>
            </w:r>
            <w:r w:rsidR="000F73C7">
              <w:rPr>
                <w:rFonts w:ascii="Times New Roman" w:hAnsi="Times New Roman"/>
                <w:color w:val="000000"/>
                <w:sz w:val="18"/>
                <w:szCs w:val="18"/>
              </w:rPr>
              <w:t xml:space="preserve"> or more</w:t>
            </w:r>
          </w:p>
        </w:tc>
        <w:tc>
          <w:tcPr>
            <w:tcW w:w="1530" w:type="dxa"/>
            <w:tcBorders>
              <w:top w:val="dotted" w:sz="4" w:space="0" w:color="auto"/>
              <w:left w:val="dotted" w:sz="4" w:space="0" w:color="auto"/>
              <w:right w:val="single" w:sz="8" w:space="0" w:color="auto"/>
            </w:tcBorders>
            <w:vAlign w:val="center"/>
          </w:tcPr>
          <w:p w14:paraId="68B4AD7B" w14:textId="350CE63E" w:rsidR="00610B4F" w:rsidRPr="00C945C7" w:rsidRDefault="000F73C7" w:rsidP="001A3D79">
            <w:pPr>
              <w:spacing w:line="276" w:lineRule="auto"/>
              <w:rPr>
                <w:rFonts w:ascii="Times New Roman" w:eastAsiaTheme="minorEastAsia" w:hAnsi="Times New Roman"/>
                <w:b/>
                <w:bCs/>
                <w:noProof/>
                <w:sz w:val="18"/>
                <w:szCs w:val="18"/>
                <w:lang w:eastAsia="ko-KR"/>
              </w:rPr>
            </w:pPr>
            <w:r>
              <w:rPr>
                <w:rFonts w:ascii="Times New Roman" w:hAnsi="Times New Roman"/>
                <w:sz w:val="18"/>
                <w:szCs w:val="18"/>
              </w:rPr>
              <w:t>&lt;</w:t>
            </w:r>
            <w:r w:rsidR="00610B4F" w:rsidRPr="00C945C7">
              <w:rPr>
                <w:rFonts w:ascii="Times New Roman" w:hAnsi="Times New Roman" w:hint="eastAsia"/>
                <w:sz w:val="18"/>
                <w:szCs w:val="18"/>
              </w:rPr>
              <w:t>$100,000</w:t>
            </w:r>
          </w:p>
        </w:tc>
        <w:tc>
          <w:tcPr>
            <w:tcW w:w="720" w:type="dxa"/>
            <w:tcBorders>
              <w:top w:val="dotted" w:sz="4" w:space="0" w:color="auto"/>
              <w:left w:val="single" w:sz="8" w:space="0" w:color="auto"/>
              <w:right w:val="dotted" w:sz="4" w:space="0" w:color="auto"/>
            </w:tcBorders>
            <w:vAlign w:val="center"/>
          </w:tcPr>
          <w:p w14:paraId="76703C6B" w14:textId="612E36BD" w:rsidR="00610B4F" w:rsidRPr="009033D3"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0.30</w:t>
            </w:r>
          </w:p>
        </w:tc>
        <w:tc>
          <w:tcPr>
            <w:tcW w:w="630" w:type="dxa"/>
            <w:tcBorders>
              <w:top w:val="dotted" w:sz="4" w:space="0" w:color="auto"/>
              <w:left w:val="dotted" w:sz="4" w:space="0" w:color="auto"/>
              <w:right w:val="single" w:sz="6" w:space="0" w:color="auto"/>
            </w:tcBorders>
            <w:vAlign w:val="center"/>
          </w:tcPr>
          <w:p w14:paraId="4ACAD4EC" w14:textId="07E845B0" w:rsidR="00610B4F" w:rsidRPr="009033D3"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0.30</w:t>
            </w:r>
          </w:p>
        </w:tc>
        <w:tc>
          <w:tcPr>
            <w:tcW w:w="630" w:type="dxa"/>
            <w:tcBorders>
              <w:top w:val="dotted" w:sz="4" w:space="0" w:color="auto"/>
              <w:left w:val="single" w:sz="6" w:space="0" w:color="auto"/>
              <w:right w:val="single" w:sz="8" w:space="0" w:color="auto"/>
            </w:tcBorders>
            <w:vAlign w:val="center"/>
          </w:tcPr>
          <w:p w14:paraId="62574BE8" w14:textId="77777777" w:rsidR="00610B4F" w:rsidRPr="00691990" w:rsidRDefault="00610B4F" w:rsidP="001A3D79">
            <w:pPr>
              <w:jc w:val="right"/>
              <w:rPr>
                <w:rFonts w:ascii="Times New Roman" w:hAnsi="Times New Roman"/>
                <w:color w:val="000000"/>
                <w:sz w:val="18"/>
                <w:szCs w:val="18"/>
              </w:rPr>
            </w:pPr>
            <w:r w:rsidRPr="00691990">
              <w:rPr>
                <w:rFonts w:ascii="Times New Roman" w:hAnsi="Times New Roman" w:hint="eastAsia"/>
                <w:color w:val="000000"/>
                <w:sz w:val="18"/>
                <w:szCs w:val="18"/>
              </w:rPr>
              <w:t>0.0</w:t>
            </w:r>
          </w:p>
        </w:tc>
        <w:tc>
          <w:tcPr>
            <w:tcW w:w="623" w:type="dxa"/>
            <w:tcBorders>
              <w:top w:val="dotted" w:sz="4" w:space="0" w:color="auto"/>
              <w:left w:val="single" w:sz="8" w:space="0" w:color="auto"/>
              <w:right w:val="dotted" w:sz="4" w:space="0" w:color="auto"/>
            </w:tcBorders>
            <w:vAlign w:val="center"/>
          </w:tcPr>
          <w:p w14:paraId="4A07EBE1" w14:textId="49AA3772" w:rsidR="00610B4F" w:rsidRPr="00691990" w:rsidRDefault="0070731B" w:rsidP="001A3D79">
            <w:pPr>
              <w:jc w:val="right"/>
              <w:rPr>
                <w:rFonts w:ascii="Times New Roman" w:hAnsi="Times New Roman"/>
                <w:color w:val="000000"/>
                <w:sz w:val="18"/>
                <w:szCs w:val="18"/>
              </w:rPr>
            </w:pPr>
            <w:r w:rsidRPr="00935615">
              <w:rPr>
                <w:rFonts w:ascii="Times New Roman" w:hAnsi="Times New Roman"/>
                <w:color w:val="000000"/>
                <w:sz w:val="18"/>
                <w:szCs w:val="18"/>
              </w:rPr>
              <w:t>3.82</w:t>
            </w:r>
          </w:p>
        </w:tc>
        <w:tc>
          <w:tcPr>
            <w:tcW w:w="477" w:type="dxa"/>
            <w:tcBorders>
              <w:top w:val="dotted" w:sz="4" w:space="0" w:color="auto"/>
              <w:left w:val="dotted" w:sz="4" w:space="0" w:color="auto"/>
            </w:tcBorders>
            <w:vAlign w:val="center"/>
          </w:tcPr>
          <w:p w14:paraId="2CF10675" w14:textId="0C552A6E" w:rsidR="00610B4F" w:rsidRPr="00691990" w:rsidRDefault="0070731B" w:rsidP="001A3D79">
            <w:pPr>
              <w:jc w:val="right"/>
              <w:rPr>
                <w:rFonts w:ascii="Times New Roman" w:hAnsi="Times New Roman"/>
                <w:color w:val="000000"/>
                <w:sz w:val="18"/>
                <w:szCs w:val="18"/>
              </w:rPr>
            </w:pPr>
            <w:r>
              <w:rPr>
                <w:rFonts w:ascii="Times New Roman" w:hAnsi="Times New Roman"/>
                <w:color w:val="000000"/>
                <w:sz w:val="18"/>
                <w:szCs w:val="18"/>
              </w:rPr>
              <w:t>3.60</w:t>
            </w:r>
          </w:p>
        </w:tc>
        <w:tc>
          <w:tcPr>
            <w:tcW w:w="520" w:type="dxa"/>
            <w:tcBorders>
              <w:top w:val="dotted" w:sz="4" w:space="0" w:color="auto"/>
            </w:tcBorders>
            <w:vAlign w:val="center"/>
          </w:tcPr>
          <w:p w14:paraId="359189AD" w14:textId="507CBFB9" w:rsidR="00610B4F" w:rsidRPr="00FB6168" w:rsidRDefault="00D0362F" w:rsidP="001A3D79">
            <w:pPr>
              <w:jc w:val="right"/>
              <w:rPr>
                <w:rFonts w:ascii="Times New Roman" w:eastAsiaTheme="minorEastAsia" w:hAnsi="Times New Roman"/>
                <w:color w:val="000000"/>
                <w:sz w:val="18"/>
                <w:szCs w:val="18"/>
                <w:lang w:eastAsia="ko-KR"/>
              </w:rPr>
            </w:pPr>
            <w:r>
              <w:rPr>
                <w:rFonts w:ascii="Times New Roman" w:hAnsi="Times New Roman"/>
                <w:color w:val="000000"/>
                <w:sz w:val="18"/>
                <w:szCs w:val="18"/>
              </w:rPr>
              <w:t>-</w:t>
            </w:r>
            <w:r w:rsidR="00137651">
              <w:rPr>
                <w:rFonts w:ascii="Times New Roman" w:hAnsi="Times New Roman"/>
                <w:color w:val="000000"/>
                <w:sz w:val="18"/>
                <w:szCs w:val="18"/>
              </w:rPr>
              <w:t>5.8</w:t>
            </w:r>
          </w:p>
        </w:tc>
        <w:tc>
          <w:tcPr>
            <w:tcW w:w="720" w:type="dxa"/>
            <w:tcBorders>
              <w:top w:val="dotted" w:sz="4" w:space="0" w:color="auto"/>
              <w:right w:val="dotted" w:sz="4" w:space="0" w:color="auto"/>
            </w:tcBorders>
            <w:vAlign w:val="center"/>
          </w:tcPr>
          <w:p w14:paraId="2B5B7D27" w14:textId="77777777" w:rsidR="00610B4F" w:rsidRPr="00691990" w:rsidRDefault="00610B4F" w:rsidP="001A3D79">
            <w:pPr>
              <w:jc w:val="right"/>
              <w:rPr>
                <w:rFonts w:ascii="Times New Roman" w:hAnsi="Times New Roman"/>
                <w:color w:val="000000"/>
                <w:sz w:val="18"/>
                <w:szCs w:val="18"/>
              </w:rPr>
            </w:pPr>
            <w:r w:rsidRPr="00935615">
              <w:rPr>
                <w:rFonts w:ascii="Times New Roman" w:hAnsi="Times New Roman"/>
                <w:color w:val="000000"/>
                <w:sz w:val="18"/>
                <w:szCs w:val="18"/>
              </w:rPr>
              <w:t>0.0</w:t>
            </w:r>
          </w:p>
        </w:tc>
        <w:tc>
          <w:tcPr>
            <w:tcW w:w="720" w:type="dxa"/>
            <w:tcBorders>
              <w:top w:val="dotted" w:sz="4" w:space="0" w:color="auto"/>
              <w:left w:val="dotted" w:sz="4" w:space="0" w:color="auto"/>
              <w:right w:val="single" w:sz="8" w:space="0" w:color="auto"/>
            </w:tcBorders>
            <w:vAlign w:val="center"/>
          </w:tcPr>
          <w:p w14:paraId="6FDD09B2" w14:textId="10F6E006" w:rsidR="00610B4F" w:rsidRPr="00691990" w:rsidRDefault="00D0362F" w:rsidP="001A3D79">
            <w:pPr>
              <w:jc w:val="right"/>
              <w:rPr>
                <w:rFonts w:ascii="Times New Roman" w:hAnsi="Times New Roman"/>
                <w:color w:val="000000"/>
                <w:sz w:val="18"/>
                <w:szCs w:val="18"/>
              </w:rPr>
            </w:pPr>
            <w:r>
              <w:rPr>
                <w:rFonts w:ascii="Times New Roman" w:eastAsiaTheme="minorEastAsia" w:hAnsi="Times New Roman"/>
                <w:color w:val="000000"/>
                <w:sz w:val="18"/>
                <w:szCs w:val="18"/>
                <w:lang w:eastAsia="ko-KR"/>
              </w:rPr>
              <w:t>-</w:t>
            </w:r>
            <w:r w:rsidR="00610B4F" w:rsidRPr="00935615">
              <w:rPr>
                <w:rFonts w:ascii="Times New Roman" w:hAnsi="Times New Roman"/>
                <w:color w:val="000000"/>
                <w:sz w:val="18"/>
                <w:szCs w:val="18"/>
              </w:rPr>
              <w:t>100.0</w:t>
            </w:r>
          </w:p>
        </w:tc>
        <w:tc>
          <w:tcPr>
            <w:tcW w:w="630" w:type="dxa"/>
            <w:tcBorders>
              <w:top w:val="dotted" w:sz="4" w:space="0" w:color="auto"/>
              <w:left w:val="single" w:sz="8" w:space="0" w:color="auto"/>
              <w:right w:val="dotted" w:sz="4" w:space="0" w:color="auto"/>
            </w:tcBorders>
            <w:vAlign w:val="center"/>
          </w:tcPr>
          <w:p w14:paraId="0DC9EB47" w14:textId="0CFDD85C" w:rsidR="00610B4F" w:rsidRPr="00760632"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4</w:t>
            </w:r>
            <w:r w:rsidR="000F73C7">
              <w:rPr>
                <w:rFonts w:ascii="Times New Roman" w:eastAsiaTheme="minorEastAsia" w:hAnsi="Times New Roman"/>
                <w:color w:val="000000"/>
                <w:sz w:val="18"/>
                <w:szCs w:val="18"/>
                <w:lang w:eastAsia="ko-KR"/>
              </w:rPr>
              <w:t>8</w:t>
            </w:r>
            <w:r>
              <w:rPr>
                <w:rFonts w:ascii="Times New Roman" w:eastAsiaTheme="minorEastAsia" w:hAnsi="Times New Roman" w:hint="eastAsia"/>
                <w:color w:val="000000"/>
                <w:sz w:val="18"/>
                <w:szCs w:val="18"/>
                <w:lang w:eastAsia="ko-KR"/>
              </w:rPr>
              <w:t>.</w:t>
            </w:r>
            <w:r w:rsidR="000F73C7">
              <w:rPr>
                <w:rFonts w:ascii="Times New Roman" w:eastAsiaTheme="minorEastAsia" w:hAnsi="Times New Roman"/>
                <w:color w:val="000000"/>
                <w:sz w:val="18"/>
                <w:szCs w:val="18"/>
                <w:lang w:eastAsia="ko-KR"/>
              </w:rPr>
              <w:t>46</w:t>
            </w:r>
          </w:p>
        </w:tc>
        <w:tc>
          <w:tcPr>
            <w:tcW w:w="540" w:type="dxa"/>
            <w:tcBorders>
              <w:top w:val="dotted" w:sz="4" w:space="0" w:color="auto"/>
              <w:left w:val="dotted" w:sz="4" w:space="0" w:color="auto"/>
            </w:tcBorders>
            <w:vAlign w:val="center"/>
          </w:tcPr>
          <w:p w14:paraId="1653AEC7" w14:textId="7BA23000" w:rsidR="00610B4F" w:rsidRPr="00760632" w:rsidRDefault="00610B4F"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4</w:t>
            </w:r>
            <w:r w:rsidR="000F73C7">
              <w:rPr>
                <w:rFonts w:ascii="Times New Roman" w:eastAsiaTheme="minorEastAsia" w:hAnsi="Times New Roman"/>
                <w:color w:val="000000"/>
                <w:sz w:val="18"/>
                <w:szCs w:val="18"/>
                <w:lang w:eastAsia="ko-KR"/>
              </w:rPr>
              <w:t>1</w:t>
            </w:r>
            <w:r>
              <w:rPr>
                <w:rFonts w:ascii="Times New Roman" w:eastAsiaTheme="minorEastAsia" w:hAnsi="Times New Roman" w:hint="eastAsia"/>
                <w:color w:val="000000"/>
                <w:sz w:val="18"/>
                <w:szCs w:val="18"/>
                <w:lang w:eastAsia="ko-KR"/>
              </w:rPr>
              <w:t>.</w:t>
            </w:r>
            <w:r w:rsidR="000F73C7">
              <w:rPr>
                <w:rFonts w:ascii="Times New Roman" w:eastAsiaTheme="minorEastAsia" w:hAnsi="Times New Roman"/>
                <w:color w:val="000000"/>
                <w:sz w:val="18"/>
                <w:szCs w:val="18"/>
                <w:lang w:eastAsia="ko-KR"/>
              </w:rPr>
              <w:t>25</w:t>
            </w:r>
          </w:p>
        </w:tc>
        <w:tc>
          <w:tcPr>
            <w:tcW w:w="630" w:type="dxa"/>
            <w:tcBorders>
              <w:top w:val="dotted" w:sz="4" w:space="0" w:color="auto"/>
            </w:tcBorders>
            <w:vAlign w:val="center"/>
          </w:tcPr>
          <w:p w14:paraId="2364D3AC" w14:textId="59D0AD17" w:rsidR="00610B4F" w:rsidRPr="00760632" w:rsidRDefault="007543F6"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color w:val="000000"/>
                <w:sz w:val="18"/>
                <w:szCs w:val="18"/>
                <w:lang w:eastAsia="ko-KR"/>
              </w:rPr>
              <w:t>-</w:t>
            </w:r>
            <w:r w:rsidR="00610B4F">
              <w:rPr>
                <w:rFonts w:ascii="Times New Roman" w:eastAsiaTheme="minorEastAsia" w:hAnsi="Times New Roman" w:hint="eastAsia"/>
                <w:color w:val="000000"/>
                <w:sz w:val="18"/>
                <w:szCs w:val="18"/>
                <w:lang w:eastAsia="ko-KR"/>
              </w:rPr>
              <w:t>1</w:t>
            </w:r>
            <w:r w:rsidR="00E054AD">
              <w:rPr>
                <w:rFonts w:ascii="Times New Roman" w:eastAsiaTheme="minorEastAsia" w:hAnsi="Times New Roman"/>
                <w:color w:val="000000"/>
                <w:sz w:val="18"/>
                <w:szCs w:val="18"/>
                <w:lang w:eastAsia="ko-KR"/>
              </w:rPr>
              <w:t>4.9</w:t>
            </w:r>
          </w:p>
        </w:tc>
        <w:tc>
          <w:tcPr>
            <w:tcW w:w="540" w:type="dxa"/>
            <w:tcBorders>
              <w:top w:val="dotted" w:sz="4" w:space="0" w:color="auto"/>
              <w:right w:val="dotted" w:sz="4" w:space="0" w:color="auto"/>
            </w:tcBorders>
            <w:vAlign w:val="center"/>
          </w:tcPr>
          <w:p w14:paraId="6E193CFB" w14:textId="459BC24E" w:rsidR="00610B4F" w:rsidRPr="00225DD4" w:rsidRDefault="000F73C7"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color w:val="000000"/>
                <w:sz w:val="18"/>
                <w:szCs w:val="18"/>
                <w:lang w:eastAsia="ko-KR"/>
              </w:rPr>
              <w:t>-</w:t>
            </w:r>
            <w:r w:rsidR="00610B4F">
              <w:rPr>
                <w:rFonts w:ascii="Times New Roman" w:eastAsiaTheme="minorEastAsia" w:hAnsi="Times New Roman" w:hint="eastAsia"/>
                <w:color w:val="000000"/>
                <w:sz w:val="18"/>
                <w:szCs w:val="18"/>
                <w:lang w:eastAsia="ko-KR"/>
              </w:rPr>
              <w:t>7.9</w:t>
            </w:r>
          </w:p>
        </w:tc>
        <w:tc>
          <w:tcPr>
            <w:tcW w:w="540" w:type="dxa"/>
            <w:tcBorders>
              <w:top w:val="dotted" w:sz="4" w:space="0" w:color="auto"/>
              <w:left w:val="dotted" w:sz="4" w:space="0" w:color="auto"/>
              <w:right w:val="dotted" w:sz="4" w:space="0" w:color="auto"/>
            </w:tcBorders>
            <w:vAlign w:val="center"/>
          </w:tcPr>
          <w:p w14:paraId="59455EAC" w14:textId="77777777" w:rsidR="00610B4F" w:rsidRPr="00691990" w:rsidRDefault="00610B4F" w:rsidP="001A3D79">
            <w:pPr>
              <w:jc w:val="right"/>
              <w:rPr>
                <w:rFonts w:ascii="Times New Roman" w:hAnsi="Times New Roman"/>
                <w:color w:val="000000"/>
                <w:sz w:val="18"/>
                <w:szCs w:val="18"/>
              </w:rPr>
            </w:pPr>
            <w:r w:rsidRPr="00935615">
              <w:rPr>
                <w:rFonts w:ascii="Times New Roman" w:hAnsi="Times New Roman"/>
                <w:color w:val="000000"/>
                <w:sz w:val="18"/>
                <w:szCs w:val="18"/>
              </w:rPr>
              <w:t>0.0</w:t>
            </w:r>
          </w:p>
        </w:tc>
        <w:tc>
          <w:tcPr>
            <w:tcW w:w="630" w:type="dxa"/>
            <w:tcBorders>
              <w:top w:val="dotted" w:sz="4" w:space="0" w:color="auto"/>
              <w:left w:val="dotted" w:sz="4" w:space="0" w:color="auto"/>
              <w:right w:val="double" w:sz="4" w:space="0" w:color="auto"/>
            </w:tcBorders>
            <w:vAlign w:val="center"/>
          </w:tcPr>
          <w:p w14:paraId="554DBF21" w14:textId="45C65C6D" w:rsidR="00610B4F" w:rsidRPr="00225DD4" w:rsidRDefault="000F73C7" w:rsidP="001A3D79">
            <w:pPr>
              <w:jc w:val="right"/>
              <w:rPr>
                <w:rFonts w:ascii="Times New Roman" w:eastAsiaTheme="minorEastAsia" w:hAnsi="Times New Roman"/>
                <w:color w:val="000000"/>
                <w:sz w:val="18"/>
                <w:szCs w:val="18"/>
                <w:lang w:eastAsia="ko-KR"/>
              </w:rPr>
            </w:pPr>
            <w:r>
              <w:rPr>
                <w:rFonts w:ascii="Times New Roman" w:eastAsiaTheme="minorEastAsia" w:hAnsi="Times New Roman"/>
                <w:color w:val="000000"/>
                <w:sz w:val="18"/>
                <w:szCs w:val="18"/>
                <w:lang w:eastAsia="ko-KR"/>
              </w:rPr>
              <w:t>-</w:t>
            </w:r>
            <w:r w:rsidR="00610B4F">
              <w:rPr>
                <w:rFonts w:ascii="Times New Roman" w:eastAsiaTheme="minorEastAsia" w:hAnsi="Times New Roman" w:hint="eastAsia"/>
                <w:color w:val="000000"/>
                <w:sz w:val="18"/>
                <w:szCs w:val="18"/>
                <w:lang w:eastAsia="ko-KR"/>
              </w:rPr>
              <w:t>92.1</w:t>
            </w:r>
          </w:p>
        </w:tc>
      </w:tr>
      <w:tr w:rsidR="00610B4F" w14:paraId="616DDFC1" w14:textId="77777777" w:rsidTr="001A3D79">
        <w:trPr>
          <w:trHeight w:val="243"/>
        </w:trPr>
        <w:tc>
          <w:tcPr>
            <w:tcW w:w="12855" w:type="dxa"/>
            <w:gridSpan w:val="17"/>
            <w:tcBorders>
              <w:left w:val="double" w:sz="4" w:space="0" w:color="auto"/>
              <w:right w:val="double" w:sz="4" w:space="0" w:color="auto"/>
            </w:tcBorders>
          </w:tcPr>
          <w:p w14:paraId="77D5D589" w14:textId="77777777" w:rsidR="00610B4F" w:rsidRPr="00691990" w:rsidRDefault="00610B4F" w:rsidP="001A3D79">
            <w:pPr>
              <w:rPr>
                <w:rFonts w:ascii="Times New Roman" w:hAnsi="Times New Roman"/>
                <w:color w:val="000000"/>
                <w:sz w:val="18"/>
                <w:szCs w:val="18"/>
              </w:rPr>
            </w:pPr>
            <w:r>
              <w:rPr>
                <w:rFonts w:ascii="Times New Roman" w:eastAsiaTheme="minorEastAsia" w:hAnsi="Times New Roman" w:hint="eastAsia"/>
                <w:b/>
                <w:bCs/>
                <w:noProof/>
                <w:sz w:val="20"/>
                <w:lang w:eastAsia="ko-KR"/>
              </w:rPr>
              <w:t>Endogenous Variables</w:t>
            </w:r>
          </w:p>
        </w:tc>
      </w:tr>
      <w:tr w:rsidR="00E81D13" w14:paraId="083647CF" w14:textId="77777777" w:rsidTr="003958E9">
        <w:trPr>
          <w:trHeight w:val="830"/>
        </w:trPr>
        <w:tc>
          <w:tcPr>
            <w:tcW w:w="1425" w:type="dxa"/>
            <w:tcBorders>
              <w:left w:val="double" w:sz="4" w:space="0" w:color="auto"/>
              <w:bottom w:val="dotted" w:sz="4" w:space="0" w:color="auto"/>
              <w:right w:val="dotted" w:sz="4" w:space="0" w:color="auto"/>
            </w:tcBorders>
            <w:vAlign w:val="center"/>
          </w:tcPr>
          <w:p w14:paraId="4F2DDA09" w14:textId="77777777" w:rsidR="00E81D13" w:rsidRPr="00C945C7" w:rsidRDefault="00E81D13" w:rsidP="00E81D13">
            <w:pPr>
              <w:spacing w:line="276" w:lineRule="auto"/>
              <w:rPr>
                <w:rFonts w:ascii="Times New Roman" w:eastAsiaTheme="minorEastAsia" w:hAnsi="Times New Roman"/>
                <w:b/>
                <w:bCs/>
                <w:noProof/>
                <w:sz w:val="18"/>
                <w:szCs w:val="18"/>
                <w:lang w:eastAsia="ko-KR"/>
              </w:rPr>
            </w:pPr>
            <w:r w:rsidRPr="00C945C7">
              <w:rPr>
                <w:rFonts w:ascii="Times New Roman" w:hAnsi="Times New Roman"/>
                <w:color w:val="000000"/>
                <w:sz w:val="18"/>
                <w:szCs w:val="18"/>
              </w:rPr>
              <w:t>Social</w:t>
            </w:r>
            <w:r w:rsidRPr="00C945C7">
              <w:rPr>
                <w:rFonts w:ascii="Times New Roman" w:hAnsi="Times New Roman" w:hint="eastAsia"/>
                <w:color w:val="000000"/>
                <w:sz w:val="18"/>
                <w:szCs w:val="18"/>
              </w:rPr>
              <w:t xml:space="preserve"> companionship</w:t>
            </w:r>
            <w:r w:rsidRPr="00C945C7">
              <w:rPr>
                <w:rFonts w:ascii="Times New Roman" w:hAnsi="Times New Roman"/>
                <w:color w:val="000000"/>
                <w:sz w:val="18"/>
                <w:szCs w:val="18"/>
              </w:rPr>
              <w:t xml:space="preserve"> (SC)</w:t>
            </w:r>
          </w:p>
        </w:tc>
        <w:tc>
          <w:tcPr>
            <w:tcW w:w="1350" w:type="dxa"/>
            <w:tcBorders>
              <w:left w:val="dotted" w:sz="4" w:space="0" w:color="auto"/>
              <w:bottom w:val="dotted" w:sz="4" w:space="0" w:color="auto"/>
              <w:right w:val="dotted" w:sz="4" w:space="0" w:color="auto"/>
            </w:tcBorders>
            <w:vAlign w:val="center"/>
          </w:tcPr>
          <w:p w14:paraId="2D126CD4" w14:textId="77777777" w:rsidR="00E81D13" w:rsidRPr="00C945C7" w:rsidRDefault="00E81D13" w:rsidP="00E81D13">
            <w:pPr>
              <w:spacing w:line="276" w:lineRule="auto"/>
              <w:rPr>
                <w:rFonts w:ascii="Times New Roman" w:eastAsiaTheme="minorEastAsia" w:hAnsi="Times New Roman"/>
                <w:b/>
                <w:bCs/>
                <w:noProof/>
                <w:sz w:val="18"/>
                <w:szCs w:val="18"/>
                <w:lang w:eastAsia="ko-KR"/>
              </w:rPr>
            </w:pPr>
            <w:r w:rsidRPr="00C945C7">
              <w:rPr>
                <w:rFonts w:ascii="Times New Roman" w:hAnsi="Times New Roman" w:hint="eastAsia"/>
                <w:color w:val="000000"/>
                <w:sz w:val="18"/>
                <w:szCs w:val="18"/>
              </w:rPr>
              <w:t>Sometimes or less</w:t>
            </w:r>
          </w:p>
        </w:tc>
        <w:tc>
          <w:tcPr>
            <w:tcW w:w="1530" w:type="dxa"/>
            <w:tcBorders>
              <w:left w:val="dotted" w:sz="4" w:space="0" w:color="auto"/>
              <w:bottom w:val="dotted" w:sz="4" w:space="0" w:color="auto"/>
              <w:right w:val="single" w:sz="8" w:space="0" w:color="auto"/>
            </w:tcBorders>
            <w:vAlign w:val="center"/>
          </w:tcPr>
          <w:p w14:paraId="36E5C786" w14:textId="77777777" w:rsidR="00E81D13" w:rsidRPr="00C945C7" w:rsidRDefault="00E81D13" w:rsidP="00E81D13">
            <w:pPr>
              <w:spacing w:line="276" w:lineRule="auto"/>
              <w:rPr>
                <w:rFonts w:ascii="Times New Roman" w:eastAsiaTheme="minorEastAsia" w:hAnsi="Times New Roman"/>
                <w:b/>
                <w:bCs/>
                <w:noProof/>
                <w:sz w:val="18"/>
                <w:szCs w:val="18"/>
                <w:lang w:eastAsia="ko-KR"/>
              </w:rPr>
            </w:pPr>
            <w:r w:rsidRPr="00C945C7">
              <w:rPr>
                <w:rFonts w:ascii="Times New Roman" w:hAnsi="Times New Roman" w:hint="eastAsia"/>
                <w:color w:val="000000"/>
                <w:sz w:val="18"/>
                <w:szCs w:val="18"/>
              </w:rPr>
              <w:t>Often or Always</w:t>
            </w:r>
          </w:p>
        </w:tc>
        <w:tc>
          <w:tcPr>
            <w:tcW w:w="720" w:type="dxa"/>
            <w:tcBorders>
              <w:left w:val="single" w:sz="8" w:space="0" w:color="auto"/>
              <w:bottom w:val="dotted" w:sz="4" w:space="0" w:color="auto"/>
              <w:right w:val="dotted" w:sz="4" w:space="0" w:color="auto"/>
            </w:tcBorders>
            <w:vAlign w:val="center"/>
          </w:tcPr>
          <w:p w14:paraId="28243699" w14:textId="77777777" w:rsidR="00E81D13" w:rsidRDefault="00E81D13" w:rsidP="00E81D13">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w:t>
            </w:r>
          </w:p>
        </w:tc>
        <w:tc>
          <w:tcPr>
            <w:tcW w:w="630" w:type="dxa"/>
            <w:tcBorders>
              <w:left w:val="dotted" w:sz="4" w:space="0" w:color="auto"/>
              <w:bottom w:val="dotted" w:sz="4" w:space="0" w:color="auto"/>
              <w:right w:val="single" w:sz="6" w:space="0" w:color="auto"/>
            </w:tcBorders>
            <w:vAlign w:val="center"/>
          </w:tcPr>
          <w:p w14:paraId="104F5A09" w14:textId="77777777" w:rsidR="00E81D13" w:rsidRDefault="00E81D13" w:rsidP="00E81D13">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w:t>
            </w:r>
          </w:p>
        </w:tc>
        <w:tc>
          <w:tcPr>
            <w:tcW w:w="630" w:type="dxa"/>
            <w:tcBorders>
              <w:left w:val="single" w:sz="6" w:space="0" w:color="auto"/>
              <w:bottom w:val="dotted" w:sz="4" w:space="0" w:color="auto"/>
              <w:right w:val="single" w:sz="8" w:space="0" w:color="auto"/>
            </w:tcBorders>
            <w:vAlign w:val="center"/>
          </w:tcPr>
          <w:p w14:paraId="4F3DC590" w14:textId="77777777" w:rsidR="00E81D13" w:rsidRPr="008E4F81" w:rsidRDefault="00E81D13" w:rsidP="00E81D13">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w:t>
            </w:r>
          </w:p>
        </w:tc>
        <w:tc>
          <w:tcPr>
            <w:tcW w:w="623" w:type="dxa"/>
            <w:tcBorders>
              <w:left w:val="single" w:sz="8" w:space="0" w:color="auto"/>
              <w:bottom w:val="dotted" w:sz="4" w:space="0" w:color="auto"/>
              <w:right w:val="dotted" w:sz="4" w:space="0" w:color="auto"/>
            </w:tcBorders>
            <w:vAlign w:val="center"/>
          </w:tcPr>
          <w:p w14:paraId="0FD10B4B" w14:textId="77777777" w:rsidR="00E81D13" w:rsidRPr="00691990" w:rsidRDefault="00E81D13" w:rsidP="00E81D13">
            <w:pPr>
              <w:jc w:val="right"/>
              <w:rPr>
                <w:rFonts w:ascii="Times New Roman" w:hAnsi="Times New Roman"/>
                <w:color w:val="000000"/>
                <w:sz w:val="18"/>
                <w:szCs w:val="18"/>
              </w:rPr>
            </w:pPr>
            <w:r w:rsidRPr="00935615">
              <w:rPr>
                <w:rFonts w:ascii="Times New Roman" w:hAnsi="Times New Roman"/>
                <w:color w:val="000000"/>
                <w:sz w:val="18"/>
                <w:szCs w:val="18"/>
              </w:rPr>
              <w:t>2.79</w:t>
            </w:r>
          </w:p>
        </w:tc>
        <w:tc>
          <w:tcPr>
            <w:tcW w:w="477" w:type="dxa"/>
            <w:tcBorders>
              <w:left w:val="dotted" w:sz="4" w:space="0" w:color="auto"/>
              <w:bottom w:val="dotted" w:sz="4" w:space="0" w:color="auto"/>
            </w:tcBorders>
            <w:vAlign w:val="center"/>
          </w:tcPr>
          <w:p w14:paraId="61AAF7E3" w14:textId="77777777" w:rsidR="00E81D13" w:rsidRPr="00691990" w:rsidRDefault="00E81D13" w:rsidP="00E81D13">
            <w:pPr>
              <w:jc w:val="right"/>
              <w:rPr>
                <w:rFonts w:ascii="Times New Roman" w:hAnsi="Times New Roman"/>
                <w:color w:val="000000"/>
                <w:sz w:val="18"/>
                <w:szCs w:val="18"/>
              </w:rPr>
            </w:pPr>
            <w:r w:rsidRPr="00935615">
              <w:rPr>
                <w:rFonts w:ascii="Times New Roman" w:hAnsi="Times New Roman"/>
                <w:color w:val="000000"/>
                <w:sz w:val="18"/>
                <w:szCs w:val="18"/>
              </w:rPr>
              <w:t>5.47</w:t>
            </w:r>
          </w:p>
        </w:tc>
        <w:tc>
          <w:tcPr>
            <w:tcW w:w="520" w:type="dxa"/>
            <w:tcBorders>
              <w:bottom w:val="dotted" w:sz="4" w:space="0" w:color="auto"/>
            </w:tcBorders>
            <w:vAlign w:val="center"/>
          </w:tcPr>
          <w:p w14:paraId="76F4AFC8" w14:textId="77777777" w:rsidR="00E81D13" w:rsidRPr="00FB6168" w:rsidRDefault="00E81D13" w:rsidP="00E81D13">
            <w:pPr>
              <w:jc w:val="right"/>
              <w:rPr>
                <w:rFonts w:ascii="Times New Roman" w:eastAsiaTheme="minorEastAsia" w:hAnsi="Times New Roman"/>
                <w:color w:val="000000"/>
                <w:sz w:val="18"/>
                <w:szCs w:val="18"/>
                <w:lang w:eastAsia="ko-KR"/>
              </w:rPr>
            </w:pPr>
            <w:r w:rsidRPr="00935615">
              <w:rPr>
                <w:rFonts w:ascii="Times New Roman" w:hAnsi="Times New Roman"/>
                <w:color w:val="000000"/>
                <w:sz w:val="18"/>
                <w:szCs w:val="18"/>
              </w:rPr>
              <w:t>9</w:t>
            </w:r>
            <w:r>
              <w:rPr>
                <w:rFonts w:ascii="Times New Roman" w:eastAsiaTheme="minorEastAsia" w:hAnsi="Times New Roman" w:hint="eastAsia"/>
                <w:color w:val="000000"/>
                <w:sz w:val="18"/>
                <w:szCs w:val="18"/>
                <w:lang w:eastAsia="ko-KR"/>
              </w:rPr>
              <w:t>6.1</w:t>
            </w:r>
          </w:p>
        </w:tc>
        <w:tc>
          <w:tcPr>
            <w:tcW w:w="720" w:type="dxa"/>
            <w:tcBorders>
              <w:bottom w:val="dotted" w:sz="4" w:space="0" w:color="auto"/>
              <w:right w:val="dotted" w:sz="4" w:space="0" w:color="auto"/>
            </w:tcBorders>
            <w:vAlign w:val="center"/>
          </w:tcPr>
          <w:p w14:paraId="24087036" w14:textId="77777777" w:rsidR="00E81D13" w:rsidRPr="00327874" w:rsidRDefault="00E81D13" w:rsidP="00E81D13">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+100.0</w:t>
            </w:r>
          </w:p>
        </w:tc>
        <w:tc>
          <w:tcPr>
            <w:tcW w:w="720" w:type="dxa"/>
            <w:tcBorders>
              <w:left w:val="dotted" w:sz="4" w:space="0" w:color="auto"/>
              <w:bottom w:val="dotted" w:sz="4" w:space="0" w:color="auto"/>
              <w:right w:val="single" w:sz="8" w:space="0" w:color="auto"/>
            </w:tcBorders>
            <w:vAlign w:val="center"/>
          </w:tcPr>
          <w:p w14:paraId="72C59876" w14:textId="77777777" w:rsidR="00E81D13" w:rsidRPr="00327874" w:rsidRDefault="00E81D13" w:rsidP="00E81D13">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0.0</w:t>
            </w:r>
          </w:p>
        </w:tc>
        <w:tc>
          <w:tcPr>
            <w:tcW w:w="630" w:type="dxa"/>
            <w:tcBorders>
              <w:left w:val="single" w:sz="8" w:space="0" w:color="auto"/>
              <w:bottom w:val="dotted" w:sz="4" w:space="0" w:color="auto"/>
              <w:right w:val="dotted" w:sz="4" w:space="0" w:color="auto"/>
            </w:tcBorders>
            <w:vAlign w:val="center"/>
          </w:tcPr>
          <w:p w14:paraId="2176E6B2" w14:textId="77777777" w:rsidR="00E81D13" w:rsidRPr="00027AA6" w:rsidRDefault="00E81D13" w:rsidP="00E81D13">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23.98</w:t>
            </w:r>
          </w:p>
        </w:tc>
        <w:tc>
          <w:tcPr>
            <w:tcW w:w="540" w:type="dxa"/>
            <w:tcBorders>
              <w:left w:val="dotted" w:sz="4" w:space="0" w:color="auto"/>
              <w:bottom w:val="dotted" w:sz="4" w:space="0" w:color="auto"/>
            </w:tcBorders>
            <w:vAlign w:val="center"/>
          </w:tcPr>
          <w:p w14:paraId="697D1001" w14:textId="77777777" w:rsidR="00E81D13" w:rsidRPr="00027AA6" w:rsidRDefault="00E81D13" w:rsidP="00E81D13">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89.24</w:t>
            </w:r>
          </w:p>
        </w:tc>
        <w:tc>
          <w:tcPr>
            <w:tcW w:w="630" w:type="dxa"/>
            <w:tcBorders>
              <w:bottom w:val="dotted" w:sz="4" w:space="0" w:color="auto"/>
            </w:tcBorders>
            <w:vAlign w:val="center"/>
          </w:tcPr>
          <w:p w14:paraId="7DDBF24B" w14:textId="77777777" w:rsidR="00E81D13" w:rsidRPr="00F34AC1" w:rsidRDefault="00E81D13" w:rsidP="00E81D13">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272.1</w:t>
            </w:r>
          </w:p>
        </w:tc>
        <w:tc>
          <w:tcPr>
            <w:tcW w:w="540" w:type="dxa"/>
            <w:tcBorders>
              <w:bottom w:val="dotted" w:sz="4" w:space="0" w:color="auto"/>
              <w:right w:val="dotted" w:sz="4" w:space="0" w:color="auto"/>
            </w:tcBorders>
            <w:vAlign w:val="center"/>
          </w:tcPr>
          <w:p w14:paraId="79EB11B7" w14:textId="77777777" w:rsidR="00E81D13" w:rsidRPr="008E4F81" w:rsidRDefault="00E81D13" w:rsidP="00E81D13">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+17.1</w:t>
            </w:r>
          </w:p>
        </w:tc>
        <w:tc>
          <w:tcPr>
            <w:tcW w:w="540" w:type="dxa"/>
            <w:tcBorders>
              <w:left w:val="dotted" w:sz="4" w:space="0" w:color="auto"/>
              <w:bottom w:val="dotted" w:sz="4" w:space="0" w:color="auto"/>
              <w:right w:val="dotted" w:sz="4" w:space="0" w:color="auto"/>
            </w:tcBorders>
            <w:vAlign w:val="center"/>
          </w:tcPr>
          <w:p w14:paraId="4A139E07" w14:textId="4009A6FC" w:rsidR="00E81D13" w:rsidRPr="008E4F81" w:rsidRDefault="00E81D13" w:rsidP="00E81D13">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+82.9</w:t>
            </w:r>
          </w:p>
        </w:tc>
        <w:tc>
          <w:tcPr>
            <w:tcW w:w="630" w:type="dxa"/>
            <w:tcBorders>
              <w:left w:val="dotted" w:sz="4" w:space="0" w:color="auto"/>
              <w:bottom w:val="dotted" w:sz="4" w:space="0" w:color="auto"/>
              <w:right w:val="double" w:sz="4" w:space="0" w:color="auto"/>
            </w:tcBorders>
            <w:vAlign w:val="center"/>
          </w:tcPr>
          <w:p w14:paraId="6DA258D1" w14:textId="7BE899B8" w:rsidR="00E81D13" w:rsidRPr="00F34AC1" w:rsidRDefault="00E81D13" w:rsidP="00E81D13">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0.0</w:t>
            </w:r>
          </w:p>
        </w:tc>
      </w:tr>
      <w:tr w:rsidR="00E81D13" w14:paraId="07C4DF3D" w14:textId="77777777" w:rsidTr="003958E9">
        <w:trPr>
          <w:trHeight w:val="561"/>
        </w:trPr>
        <w:tc>
          <w:tcPr>
            <w:tcW w:w="1425" w:type="dxa"/>
            <w:tcBorders>
              <w:top w:val="dotted" w:sz="4" w:space="0" w:color="auto"/>
              <w:left w:val="double" w:sz="4" w:space="0" w:color="auto"/>
              <w:bottom w:val="double" w:sz="4" w:space="0" w:color="auto"/>
              <w:right w:val="dotted" w:sz="4" w:space="0" w:color="auto"/>
            </w:tcBorders>
            <w:vAlign w:val="center"/>
          </w:tcPr>
          <w:p w14:paraId="256D89AC" w14:textId="77777777" w:rsidR="00E81D13" w:rsidRPr="00C945C7" w:rsidRDefault="00E81D13" w:rsidP="00E81D13">
            <w:pPr>
              <w:spacing w:line="276" w:lineRule="auto"/>
              <w:rPr>
                <w:rFonts w:ascii="Times New Roman" w:hAnsi="Times New Roman"/>
                <w:color w:val="000000"/>
                <w:sz w:val="18"/>
                <w:szCs w:val="18"/>
              </w:rPr>
            </w:pPr>
            <w:r w:rsidRPr="00C945C7">
              <w:rPr>
                <w:rFonts w:ascii="Times New Roman" w:hAnsi="Times New Roman" w:hint="eastAsia"/>
                <w:color w:val="000000"/>
                <w:sz w:val="18"/>
                <w:szCs w:val="18"/>
              </w:rPr>
              <w:t>Frequency</w:t>
            </w:r>
          </w:p>
        </w:tc>
        <w:tc>
          <w:tcPr>
            <w:tcW w:w="1350" w:type="dxa"/>
            <w:tcBorders>
              <w:top w:val="dotted" w:sz="4" w:space="0" w:color="auto"/>
              <w:left w:val="dotted" w:sz="4" w:space="0" w:color="auto"/>
              <w:bottom w:val="double" w:sz="4" w:space="0" w:color="auto"/>
              <w:right w:val="dotted" w:sz="4" w:space="0" w:color="auto"/>
            </w:tcBorders>
            <w:vAlign w:val="center"/>
          </w:tcPr>
          <w:p w14:paraId="76474B2C" w14:textId="77777777" w:rsidR="00E81D13" w:rsidRPr="00C945C7" w:rsidRDefault="00E81D13" w:rsidP="00E81D13">
            <w:pPr>
              <w:spacing w:line="276" w:lineRule="auto"/>
              <w:rPr>
                <w:rFonts w:ascii="Times New Roman" w:hAnsi="Times New Roman"/>
                <w:color w:val="000000"/>
                <w:sz w:val="18"/>
                <w:szCs w:val="18"/>
              </w:rPr>
            </w:pPr>
            <w:r w:rsidRPr="00C945C7">
              <w:rPr>
                <w:rFonts w:ascii="Times New Roman" w:hAnsi="Times New Roman" w:hint="eastAsia"/>
                <w:color w:val="000000"/>
                <w:sz w:val="18"/>
                <w:szCs w:val="18"/>
              </w:rPr>
              <w:t>Less than 3 times a week</w:t>
            </w:r>
          </w:p>
        </w:tc>
        <w:tc>
          <w:tcPr>
            <w:tcW w:w="1530" w:type="dxa"/>
            <w:tcBorders>
              <w:top w:val="dotted" w:sz="4" w:space="0" w:color="auto"/>
              <w:left w:val="dotted" w:sz="4" w:space="0" w:color="auto"/>
              <w:bottom w:val="double" w:sz="4" w:space="0" w:color="auto"/>
              <w:right w:val="single" w:sz="8" w:space="0" w:color="auto"/>
            </w:tcBorders>
            <w:vAlign w:val="center"/>
          </w:tcPr>
          <w:p w14:paraId="281BBFF6" w14:textId="77777777" w:rsidR="00E81D13" w:rsidRPr="00C945C7" w:rsidRDefault="00E81D13" w:rsidP="00E81D13">
            <w:pPr>
              <w:spacing w:line="276" w:lineRule="auto"/>
              <w:rPr>
                <w:rFonts w:ascii="Times New Roman" w:hAnsi="Times New Roman"/>
                <w:color w:val="000000"/>
                <w:sz w:val="18"/>
                <w:szCs w:val="18"/>
              </w:rPr>
            </w:pPr>
            <w:r w:rsidRPr="00C945C7">
              <w:rPr>
                <w:rFonts w:ascii="Times New Roman" w:hAnsi="Times New Roman" w:hint="eastAsia"/>
                <w:color w:val="000000"/>
                <w:sz w:val="18"/>
                <w:szCs w:val="18"/>
              </w:rPr>
              <w:t>3 times a week or more</w:t>
            </w:r>
          </w:p>
        </w:tc>
        <w:tc>
          <w:tcPr>
            <w:tcW w:w="720" w:type="dxa"/>
            <w:tcBorders>
              <w:top w:val="dotted" w:sz="4" w:space="0" w:color="auto"/>
              <w:left w:val="single" w:sz="8" w:space="0" w:color="auto"/>
              <w:bottom w:val="double" w:sz="4" w:space="0" w:color="auto"/>
              <w:right w:val="dotted" w:sz="4" w:space="0" w:color="auto"/>
            </w:tcBorders>
            <w:vAlign w:val="center"/>
          </w:tcPr>
          <w:p w14:paraId="4BA00646" w14:textId="77777777" w:rsidR="00E81D13" w:rsidRDefault="00E81D13" w:rsidP="00E81D13">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w:t>
            </w:r>
          </w:p>
        </w:tc>
        <w:tc>
          <w:tcPr>
            <w:tcW w:w="630" w:type="dxa"/>
            <w:tcBorders>
              <w:top w:val="dotted" w:sz="4" w:space="0" w:color="auto"/>
              <w:left w:val="dotted" w:sz="4" w:space="0" w:color="auto"/>
              <w:bottom w:val="double" w:sz="4" w:space="0" w:color="auto"/>
              <w:right w:val="single" w:sz="6" w:space="0" w:color="auto"/>
            </w:tcBorders>
            <w:vAlign w:val="center"/>
          </w:tcPr>
          <w:p w14:paraId="551D9753" w14:textId="77777777" w:rsidR="00E81D13" w:rsidRDefault="00E81D13" w:rsidP="00E81D13">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w:t>
            </w:r>
          </w:p>
        </w:tc>
        <w:tc>
          <w:tcPr>
            <w:tcW w:w="630" w:type="dxa"/>
            <w:tcBorders>
              <w:top w:val="dotted" w:sz="4" w:space="0" w:color="auto"/>
              <w:left w:val="single" w:sz="6" w:space="0" w:color="auto"/>
              <w:bottom w:val="double" w:sz="4" w:space="0" w:color="auto"/>
              <w:right w:val="single" w:sz="8" w:space="0" w:color="auto"/>
            </w:tcBorders>
            <w:vAlign w:val="center"/>
          </w:tcPr>
          <w:p w14:paraId="6B433A92" w14:textId="77777777" w:rsidR="00E81D13" w:rsidRDefault="00E81D13" w:rsidP="00E81D13">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w:t>
            </w:r>
          </w:p>
        </w:tc>
        <w:tc>
          <w:tcPr>
            <w:tcW w:w="623" w:type="dxa"/>
            <w:tcBorders>
              <w:top w:val="dotted" w:sz="4" w:space="0" w:color="auto"/>
              <w:left w:val="single" w:sz="8" w:space="0" w:color="auto"/>
              <w:bottom w:val="double" w:sz="4" w:space="0" w:color="auto"/>
              <w:right w:val="dotted" w:sz="4" w:space="0" w:color="auto"/>
            </w:tcBorders>
            <w:vAlign w:val="center"/>
          </w:tcPr>
          <w:p w14:paraId="0D2AD0B4" w14:textId="77777777" w:rsidR="00E81D13" w:rsidRPr="0036342B" w:rsidRDefault="00E81D13" w:rsidP="00E81D13">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w:t>
            </w:r>
          </w:p>
        </w:tc>
        <w:tc>
          <w:tcPr>
            <w:tcW w:w="477" w:type="dxa"/>
            <w:tcBorders>
              <w:top w:val="dotted" w:sz="4" w:space="0" w:color="auto"/>
              <w:left w:val="dotted" w:sz="4" w:space="0" w:color="auto"/>
              <w:bottom w:val="double" w:sz="4" w:space="0" w:color="auto"/>
            </w:tcBorders>
            <w:vAlign w:val="center"/>
          </w:tcPr>
          <w:p w14:paraId="3E953EF7" w14:textId="77777777" w:rsidR="00E81D13" w:rsidRPr="0036342B" w:rsidRDefault="00E81D13" w:rsidP="00E81D13">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w:t>
            </w:r>
          </w:p>
        </w:tc>
        <w:tc>
          <w:tcPr>
            <w:tcW w:w="520" w:type="dxa"/>
            <w:tcBorders>
              <w:top w:val="dotted" w:sz="4" w:space="0" w:color="auto"/>
              <w:bottom w:val="double" w:sz="4" w:space="0" w:color="auto"/>
            </w:tcBorders>
            <w:vAlign w:val="center"/>
          </w:tcPr>
          <w:p w14:paraId="7E9D5EB2" w14:textId="77777777" w:rsidR="00E81D13" w:rsidRPr="0036342B" w:rsidRDefault="00E81D13" w:rsidP="00E81D13">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w:t>
            </w:r>
          </w:p>
        </w:tc>
        <w:tc>
          <w:tcPr>
            <w:tcW w:w="720" w:type="dxa"/>
            <w:tcBorders>
              <w:top w:val="dotted" w:sz="4" w:space="0" w:color="auto"/>
              <w:bottom w:val="double" w:sz="4" w:space="0" w:color="auto"/>
              <w:right w:val="dotted" w:sz="4" w:space="0" w:color="auto"/>
            </w:tcBorders>
            <w:vAlign w:val="center"/>
          </w:tcPr>
          <w:p w14:paraId="7646D21D" w14:textId="77777777" w:rsidR="00E81D13" w:rsidRDefault="00E81D13" w:rsidP="00E81D13">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w:t>
            </w:r>
          </w:p>
        </w:tc>
        <w:tc>
          <w:tcPr>
            <w:tcW w:w="720" w:type="dxa"/>
            <w:tcBorders>
              <w:top w:val="dotted" w:sz="4" w:space="0" w:color="auto"/>
              <w:left w:val="dotted" w:sz="4" w:space="0" w:color="auto"/>
              <w:bottom w:val="double" w:sz="4" w:space="0" w:color="auto"/>
              <w:right w:val="single" w:sz="8" w:space="0" w:color="auto"/>
            </w:tcBorders>
            <w:vAlign w:val="center"/>
          </w:tcPr>
          <w:p w14:paraId="15F7A1B1" w14:textId="77777777" w:rsidR="00E81D13" w:rsidRDefault="00E81D13" w:rsidP="00E81D13">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w:t>
            </w:r>
          </w:p>
        </w:tc>
        <w:tc>
          <w:tcPr>
            <w:tcW w:w="630" w:type="dxa"/>
            <w:tcBorders>
              <w:top w:val="dotted" w:sz="4" w:space="0" w:color="auto"/>
              <w:left w:val="single" w:sz="8" w:space="0" w:color="auto"/>
              <w:bottom w:val="double" w:sz="4" w:space="0" w:color="auto"/>
              <w:right w:val="dotted" w:sz="4" w:space="0" w:color="auto"/>
            </w:tcBorders>
            <w:vAlign w:val="center"/>
          </w:tcPr>
          <w:p w14:paraId="5802C037" w14:textId="77777777" w:rsidR="00E81D13" w:rsidRPr="00122165" w:rsidRDefault="00E81D13" w:rsidP="00E81D13">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32.74</w:t>
            </w:r>
          </w:p>
        </w:tc>
        <w:tc>
          <w:tcPr>
            <w:tcW w:w="540" w:type="dxa"/>
            <w:tcBorders>
              <w:top w:val="dotted" w:sz="4" w:space="0" w:color="auto"/>
              <w:left w:val="dotted" w:sz="4" w:space="0" w:color="auto"/>
              <w:bottom w:val="double" w:sz="4" w:space="0" w:color="auto"/>
            </w:tcBorders>
            <w:vAlign w:val="center"/>
          </w:tcPr>
          <w:p w14:paraId="7C94F1AB" w14:textId="77777777" w:rsidR="00E81D13" w:rsidRPr="00122165" w:rsidRDefault="00E81D13" w:rsidP="00E81D13">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47.59</w:t>
            </w:r>
          </w:p>
        </w:tc>
        <w:tc>
          <w:tcPr>
            <w:tcW w:w="630" w:type="dxa"/>
            <w:tcBorders>
              <w:top w:val="dotted" w:sz="4" w:space="0" w:color="auto"/>
              <w:bottom w:val="double" w:sz="4" w:space="0" w:color="auto"/>
            </w:tcBorders>
            <w:vAlign w:val="center"/>
          </w:tcPr>
          <w:p w14:paraId="79081857" w14:textId="77777777" w:rsidR="00E81D13" w:rsidRPr="00935615" w:rsidRDefault="00E81D13" w:rsidP="00E81D13">
            <w:pPr>
              <w:jc w:val="right"/>
              <w:rPr>
                <w:rFonts w:ascii="Times New Roman" w:hAnsi="Times New Roman"/>
                <w:color w:val="000000"/>
                <w:sz w:val="18"/>
                <w:szCs w:val="18"/>
              </w:rPr>
            </w:pPr>
            <w:r w:rsidRPr="00935615">
              <w:rPr>
                <w:rFonts w:ascii="Times New Roman" w:hAnsi="Times New Roman"/>
                <w:color w:val="000000"/>
                <w:sz w:val="18"/>
                <w:szCs w:val="18"/>
              </w:rPr>
              <w:t>45.4</w:t>
            </w:r>
          </w:p>
        </w:tc>
        <w:tc>
          <w:tcPr>
            <w:tcW w:w="540" w:type="dxa"/>
            <w:tcBorders>
              <w:top w:val="dotted" w:sz="4" w:space="0" w:color="auto"/>
              <w:bottom w:val="double" w:sz="4" w:space="0" w:color="auto"/>
              <w:right w:val="dotted" w:sz="4" w:space="0" w:color="auto"/>
            </w:tcBorders>
            <w:vAlign w:val="center"/>
          </w:tcPr>
          <w:p w14:paraId="469ABF1C" w14:textId="71B4067D" w:rsidR="00E81D13" w:rsidRDefault="00F12CDA" w:rsidP="00E81D13">
            <w:pPr>
              <w:jc w:val="right"/>
              <w:rPr>
                <w:rFonts w:ascii="Times New Roman" w:eastAsiaTheme="minorEastAsia" w:hAnsi="Times New Roman"/>
                <w:color w:val="000000"/>
                <w:sz w:val="18"/>
                <w:szCs w:val="18"/>
                <w:lang w:eastAsia="ko-KR"/>
              </w:rPr>
            </w:pPr>
            <w:r w:rsidRPr="00F12CDA">
              <w:rPr>
                <w:rFonts w:ascii="Times New Roman" w:eastAsiaTheme="minorEastAsia" w:hAnsi="Times New Roman" w:hint="eastAsia"/>
                <w:color w:val="000000"/>
                <w:sz w:val="16"/>
                <w:szCs w:val="16"/>
                <w:lang w:eastAsia="ko-KR"/>
              </w:rPr>
              <w:t>+</w:t>
            </w:r>
            <w:r>
              <w:rPr>
                <w:rFonts w:ascii="Times New Roman" w:eastAsiaTheme="minorEastAsia" w:hAnsi="Times New Roman" w:hint="eastAsia"/>
                <w:color w:val="000000"/>
                <w:sz w:val="18"/>
                <w:szCs w:val="18"/>
                <w:lang w:eastAsia="ko-KR"/>
              </w:rPr>
              <w:t>10</w:t>
            </w:r>
            <w:r w:rsidR="00E81D13">
              <w:rPr>
                <w:rFonts w:ascii="Times New Roman" w:eastAsiaTheme="minorEastAsia" w:hAnsi="Times New Roman" w:hint="eastAsia"/>
                <w:color w:val="000000"/>
                <w:sz w:val="18"/>
                <w:szCs w:val="18"/>
                <w:lang w:eastAsia="ko-KR"/>
              </w:rPr>
              <w:t>0.0</w:t>
            </w:r>
          </w:p>
        </w:tc>
        <w:tc>
          <w:tcPr>
            <w:tcW w:w="540" w:type="dxa"/>
            <w:tcBorders>
              <w:top w:val="dotted" w:sz="4" w:space="0" w:color="auto"/>
              <w:left w:val="dotted" w:sz="4" w:space="0" w:color="auto"/>
              <w:bottom w:val="double" w:sz="4" w:space="0" w:color="auto"/>
              <w:right w:val="dotted" w:sz="4" w:space="0" w:color="auto"/>
            </w:tcBorders>
            <w:vAlign w:val="center"/>
          </w:tcPr>
          <w:p w14:paraId="39A2789A" w14:textId="5C9FE643" w:rsidR="00E81D13" w:rsidRDefault="00F12CDA" w:rsidP="00E81D13">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0.0</w:t>
            </w:r>
          </w:p>
        </w:tc>
        <w:tc>
          <w:tcPr>
            <w:tcW w:w="630" w:type="dxa"/>
            <w:tcBorders>
              <w:top w:val="dotted" w:sz="4" w:space="0" w:color="auto"/>
              <w:left w:val="dotted" w:sz="4" w:space="0" w:color="auto"/>
              <w:bottom w:val="double" w:sz="4" w:space="0" w:color="auto"/>
              <w:right w:val="double" w:sz="4" w:space="0" w:color="auto"/>
            </w:tcBorders>
            <w:vAlign w:val="center"/>
          </w:tcPr>
          <w:p w14:paraId="28F98736" w14:textId="693D935D" w:rsidR="00E81D13" w:rsidRDefault="00E81D13" w:rsidP="00E81D13">
            <w:pPr>
              <w:jc w:val="right"/>
              <w:rPr>
                <w:rFonts w:ascii="Times New Roman" w:eastAsiaTheme="minorEastAsia" w:hAnsi="Times New Roman"/>
                <w:color w:val="000000"/>
                <w:sz w:val="18"/>
                <w:szCs w:val="18"/>
                <w:lang w:eastAsia="ko-KR"/>
              </w:rPr>
            </w:pPr>
            <w:r>
              <w:rPr>
                <w:rFonts w:ascii="Times New Roman" w:eastAsiaTheme="minorEastAsia" w:hAnsi="Times New Roman" w:hint="eastAsia"/>
                <w:color w:val="000000"/>
                <w:sz w:val="18"/>
                <w:szCs w:val="18"/>
                <w:lang w:eastAsia="ko-KR"/>
              </w:rPr>
              <w:t>0.0</w:t>
            </w:r>
          </w:p>
        </w:tc>
      </w:tr>
    </w:tbl>
    <w:p w14:paraId="48EF4143" w14:textId="7328C11E" w:rsidR="00DC299F" w:rsidRPr="00CB0AF7" w:rsidRDefault="00691990" w:rsidP="00CB0AF7">
      <w:pPr>
        <w:jc w:val="both"/>
        <w:rPr>
          <w:rFonts w:ascii="Times New Roman" w:hAnsi="Times New Roman"/>
        </w:rPr>
        <w:sectPr w:rsidR="00DC299F" w:rsidRPr="00CB0AF7" w:rsidSect="00CA64A4">
          <w:pgSz w:w="15840" w:h="12240" w:orient="landscape"/>
          <w:pgMar w:top="1440" w:right="1440" w:bottom="1440" w:left="1440" w:header="720" w:footer="720" w:gutter="0"/>
          <w:cols w:space="720"/>
          <w:docGrid w:linePitch="360"/>
        </w:sectPr>
      </w:pPr>
      <w:r w:rsidRPr="00F424E8">
        <w:rPr>
          <w:rFonts w:ascii="Times New Roman" w:hAnsi="Times New Roman"/>
          <w:sz w:val="20"/>
          <w:szCs w:val="16"/>
        </w:rPr>
        <w:t>* The percentage contribution of each pathway is determined by the origin of the effects. For example, the indirect effect of companionship on walking duration includes the influence of companionship on walking frequency, which then impacts duration, as well as the influence of companionship itself on duration. The absolute value represents the relative magnitude of the effect from each source, regardless of whether the effect is positive or negative</w:t>
      </w:r>
      <w:r w:rsidR="00F24EE2" w:rsidRPr="00F424E8">
        <w:rPr>
          <w:rFonts w:ascii="Times New Roman" w:hAnsi="Times New Roman"/>
          <w:sz w:val="20"/>
          <w:szCs w:val="16"/>
        </w:rPr>
        <w:t xml:space="preserve">. </w:t>
      </w:r>
    </w:p>
    <w:p w14:paraId="60AE0909" w14:textId="0DE81A3C" w:rsidR="00745536" w:rsidRPr="00662E40" w:rsidRDefault="00E40991" w:rsidP="00662E40">
      <w:pPr>
        <w:pStyle w:val="Heading1"/>
        <w:spacing w:line="240" w:lineRule="auto"/>
        <w:contextualSpacing w:val="0"/>
        <w:rPr>
          <w:caps/>
          <w:lang w:eastAsia="ko-KR"/>
        </w:rPr>
      </w:pPr>
      <w:r w:rsidRPr="00662E40">
        <w:rPr>
          <w:rFonts w:hint="eastAsia"/>
          <w:caps/>
          <w:lang w:eastAsia="ko-KR"/>
        </w:rPr>
        <w:lastRenderedPageBreak/>
        <w:t xml:space="preserve">Policy </w:t>
      </w:r>
      <w:r w:rsidR="00745536" w:rsidRPr="00662E40">
        <w:rPr>
          <w:rFonts w:hint="eastAsia"/>
          <w:caps/>
          <w:lang w:eastAsia="ko-KR"/>
        </w:rPr>
        <w:t>Implication</w:t>
      </w:r>
      <w:r w:rsidR="001566C0" w:rsidRPr="00662E40">
        <w:rPr>
          <w:caps/>
          <w:lang w:eastAsia="ko-KR"/>
        </w:rPr>
        <w:t>s</w:t>
      </w:r>
    </w:p>
    <w:p w14:paraId="11D7A76F" w14:textId="770367EC" w:rsidR="00D452EC" w:rsidRDefault="00851C48" w:rsidP="00662E40">
      <w:pPr>
        <w:pStyle w:val="whitespace-pre-wrap"/>
        <w:spacing w:before="0" w:beforeAutospacing="0" w:after="0" w:afterAutospacing="0"/>
        <w:jc w:val="both"/>
      </w:pPr>
      <w:r>
        <w:t>Building on the ATE analysis findings, t</w:t>
      </w:r>
      <w:r w:rsidR="00D452EC">
        <w:t xml:space="preserve">his section </w:t>
      </w:r>
      <w:r w:rsidR="00FD0357">
        <w:t xml:space="preserve">identifies approaches to promote walking </w:t>
      </w:r>
      <w:bookmarkStart w:id="43" w:name="_Hlk169958032"/>
      <w:r w:rsidR="00D452EC">
        <w:t>through tailored initiatives focus</w:t>
      </w:r>
      <w:r>
        <w:t>ing</w:t>
      </w:r>
      <w:r w:rsidR="00D452EC">
        <w:t xml:space="preserve"> on social support, infrastructure improvements, </w:t>
      </w:r>
      <w:r w:rsidR="00945070">
        <w:t xml:space="preserve">and </w:t>
      </w:r>
      <w:r w:rsidR="00D452EC">
        <w:t>awareness</w:t>
      </w:r>
      <w:r w:rsidR="00945070">
        <w:t xml:space="preserve">/incentive </w:t>
      </w:r>
      <w:r w:rsidR="00D452EC">
        <w:t>programs</w:t>
      </w:r>
      <w:r w:rsidR="009C57EE">
        <w:t>.</w:t>
      </w:r>
      <w:bookmarkEnd w:id="43"/>
    </w:p>
    <w:p w14:paraId="58B6B71A" w14:textId="77777777" w:rsidR="00662E40" w:rsidRDefault="00662E40" w:rsidP="00662E40">
      <w:pPr>
        <w:pStyle w:val="whitespace-pre-wrap"/>
        <w:spacing w:before="0" w:beforeAutospacing="0" w:after="0" w:afterAutospacing="0"/>
        <w:jc w:val="both"/>
      </w:pPr>
    </w:p>
    <w:p w14:paraId="20B27D94" w14:textId="3EFA7797" w:rsidR="00FE6939" w:rsidRDefault="00FD0357" w:rsidP="00662E40">
      <w:pPr>
        <w:pStyle w:val="Heading2"/>
        <w:spacing w:line="240" w:lineRule="auto"/>
        <w:ind w:hanging="540"/>
        <w:contextualSpacing w:val="0"/>
        <w:rPr>
          <w:rFonts w:eastAsiaTheme="minorEastAsia"/>
          <w:lang w:eastAsia="ko-KR"/>
        </w:rPr>
      </w:pPr>
      <w:r>
        <w:rPr>
          <w:rFonts w:eastAsiaTheme="minorEastAsia"/>
          <w:lang w:eastAsia="ko-KR"/>
        </w:rPr>
        <w:t xml:space="preserve">Promoting </w:t>
      </w:r>
      <w:r w:rsidR="00FE6939">
        <w:rPr>
          <w:rFonts w:eastAsiaTheme="minorEastAsia"/>
          <w:lang w:eastAsia="ko-KR"/>
        </w:rPr>
        <w:t>Soc</w:t>
      </w:r>
      <w:r>
        <w:rPr>
          <w:rFonts w:eastAsiaTheme="minorEastAsia"/>
          <w:lang w:eastAsia="ko-KR"/>
        </w:rPr>
        <w:t xml:space="preserve">ial </w:t>
      </w:r>
      <w:r w:rsidR="00FE6939">
        <w:rPr>
          <w:rFonts w:eastAsiaTheme="minorEastAsia"/>
          <w:lang w:eastAsia="ko-KR"/>
        </w:rPr>
        <w:t>Companionship</w:t>
      </w:r>
      <w:r>
        <w:rPr>
          <w:rFonts w:eastAsiaTheme="minorEastAsia"/>
          <w:lang w:eastAsia="ko-KR"/>
        </w:rPr>
        <w:t xml:space="preserve"> in Walking</w:t>
      </w:r>
    </w:p>
    <w:p w14:paraId="2666A2AF" w14:textId="6280F30E" w:rsidR="003F7A2B" w:rsidRDefault="00851C48" w:rsidP="00662E40">
      <w:pPr>
        <w:pStyle w:val="whitespace-pre-wrap"/>
        <w:spacing w:before="0" w:beforeAutospacing="0" w:after="0" w:afterAutospacing="0"/>
        <w:jc w:val="both"/>
      </w:pPr>
      <w:r>
        <w:t>Social</w:t>
      </w:r>
      <w:r w:rsidR="00D452EC" w:rsidRPr="004330A6">
        <w:t xml:space="preserve"> companionship </w:t>
      </w:r>
      <w:r w:rsidR="000A6987">
        <w:t xml:space="preserve">dominates over all other demographic effects in promoting walking frequency and duration, as clearly observed from the total ATE effects in Table 6. This has not been lost on </w:t>
      </w:r>
      <w:r w:rsidR="000A6987" w:rsidRPr="001A370A">
        <w:t xml:space="preserve">major health organizations, such as the American Heart Association and the British Heart Foundation, </w:t>
      </w:r>
      <w:r w:rsidR="003F7A2B">
        <w:t xml:space="preserve">which </w:t>
      </w:r>
      <w:r w:rsidR="000A6987" w:rsidRPr="001A370A">
        <w:t>recommend group walking as a beneficial and enjoyable way to promote physical activity</w:t>
      </w:r>
      <w:r w:rsidR="000A6987" w:rsidRPr="001A370A">
        <w:rPr>
          <w:rFonts w:eastAsiaTheme="minorEastAsia" w:hint="eastAsia"/>
          <w:lang w:eastAsia="ko-KR"/>
        </w:rPr>
        <w:t xml:space="preserve"> </w:t>
      </w:r>
      <w:r w:rsidR="000A6987" w:rsidRPr="001A370A">
        <w:rPr>
          <w:rFonts w:eastAsiaTheme="minorEastAsia"/>
          <w:lang w:eastAsia="ko-KR"/>
        </w:rPr>
        <w:fldChar w:fldCharType="begin"/>
      </w:r>
      <w:r w:rsidR="000A6987" w:rsidRPr="001A370A">
        <w:rPr>
          <w:rFonts w:eastAsiaTheme="minorEastAsia"/>
          <w:lang w:eastAsia="ko-KR"/>
        </w:rPr>
        <w:instrText xml:space="preserve"> ADDIN ZOTERO_ITEM CSL_CITATION {"citationID":"qffKcNqg","properties":{"formattedCitation":"(American Heart Association, 2024; British Heart Foundation, 2024)","plainCitation":"(American Heart Association, 2024; British Heart Foundation, 2024)","dontUpdate":true,"noteIndex":0},"citationItems":[{"id":1151,"uris":["http://zotero.org/users/10132210/items/TAZ7KGET"],"itemData":{"id":1151,"type":"post-weblog","title":"Start or Join a Walking Club","URL":"https://www.heart.org/en/healthy-living/fitness/walking/start-or-join-a-walking-club","author":[{"family":"American Heart Association","given":""}],"issued":{"date-parts":[["2024"]]}}},{"id":1152,"uris":["http://zotero.org/users/10132210/items/M3MEUZD8"],"itemData":{"id":1152,"type":"post-weblog","title":"How a walking group can help you to get moving","URL":"https://www.bhf.org.uk/informationsupport/heart-matters-magazine/activity/walking/walking-groups","author":[{"family":"British Heart Foundation","given":""}],"accessed":{"date-parts":[["2024",6,1]]},"issued":{"date-parts":[["2024"]]}}}],"schema":"https://github.com/citation-style-language/schema/raw/master/csl-citation.json"} </w:instrText>
      </w:r>
      <w:r w:rsidR="000A6987" w:rsidRPr="001A370A">
        <w:rPr>
          <w:rFonts w:eastAsiaTheme="minorEastAsia"/>
          <w:lang w:eastAsia="ko-KR"/>
        </w:rPr>
        <w:fldChar w:fldCharType="separate"/>
      </w:r>
      <w:r w:rsidR="000A6987" w:rsidRPr="001A370A">
        <w:rPr>
          <w:rFonts w:eastAsiaTheme="minorEastAsia"/>
        </w:rPr>
        <w:t>(American Heart Association, 2024, and British Heart Foundation, 2024)</w:t>
      </w:r>
      <w:r w:rsidR="000A6987" w:rsidRPr="001A370A">
        <w:rPr>
          <w:rFonts w:eastAsiaTheme="minorEastAsia"/>
          <w:lang w:eastAsia="ko-KR"/>
        </w:rPr>
        <w:fldChar w:fldCharType="end"/>
      </w:r>
      <w:r w:rsidR="000A6987" w:rsidRPr="001A370A">
        <w:t xml:space="preserve">. </w:t>
      </w:r>
      <w:r w:rsidR="003F7A2B">
        <w:t xml:space="preserve">However, until this study, there has been little quantification of this benefit, as we are able to do using our ATE analysis. Further, </w:t>
      </w:r>
      <w:r w:rsidR="000A6987">
        <w:t>Table 6 reveals that specific groups do tend to walk less or more in groups</w:t>
      </w:r>
      <w:r w:rsidR="003F7A2B">
        <w:t xml:space="preserve">; </w:t>
      </w:r>
      <w:r w:rsidR="000A6987">
        <w:t>Black individuals, those employed, and single adult</w:t>
      </w:r>
      <w:r w:rsidR="000F73C7">
        <w:t>s</w:t>
      </w:r>
      <w:r w:rsidR="005C1D19">
        <w:t xml:space="preserve"> without children</w:t>
      </w:r>
      <w:r w:rsidR="000A6987">
        <w:t xml:space="preserve"> walk less in groups, </w:t>
      </w:r>
      <w:r w:rsidR="000F73C7">
        <w:t xml:space="preserve">while </w:t>
      </w:r>
      <w:r w:rsidR="000A6987">
        <w:t xml:space="preserve">those in households with children walk more as a group. No significant difference is found in group walking </w:t>
      </w:r>
      <w:r w:rsidR="003F7A2B">
        <w:t xml:space="preserve">behavior </w:t>
      </w:r>
      <w:r w:rsidR="000A6987">
        <w:t xml:space="preserve">based on age and gender. </w:t>
      </w:r>
      <w:r w:rsidR="003F7A2B">
        <w:t xml:space="preserve">Nudging individuals to walk in groups within any </w:t>
      </w:r>
      <w:r w:rsidR="000A6987">
        <w:t>of the</w:t>
      </w:r>
      <w:r w:rsidR="000F73C7">
        <w:t xml:space="preserve"> above </w:t>
      </w:r>
      <w:r w:rsidR="000A6987">
        <w:t xml:space="preserve">population segments </w:t>
      </w:r>
      <w:r w:rsidR="000F73C7">
        <w:t xml:space="preserve">should be beneficial </w:t>
      </w:r>
      <w:r w:rsidR="003F7A2B">
        <w:t>in addressing physical activity deficits and inequities</w:t>
      </w:r>
      <w:r w:rsidR="000A6987">
        <w:t xml:space="preserve">, as we selectively discuss below. </w:t>
      </w:r>
    </w:p>
    <w:p w14:paraId="68CD3E9F" w14:textId="26325996" w:rsidR="00D452EC" w:rsidRDefault="00D452EC" w:rsidP="00662E40">
      <w:pPr>
        <w:pStyle w:val="whitespace-pre-wrap"/>
        <w:spacing w:before="0" w:beforeAutospacing="0" w:after="0" w:afterAutospacing="0"/>
        <w:ind w:firstLine="720"/>
        <w:jc w:val="both"/>
      </w:pPr>
      <w:r>
        <w:t>Starting with age disparities, a</w:t>
      </w:r>
      <w:r w:rsidRPr="008F3DAA">
        <w:t xml:space="preserve">lthough there is no difference in </w:t>
      </w:r>
      <w:r w:rsidR="00D1345E">
        <w:t xml:space="preserve">the frequency of walking with companions </w:t>
      </w:r>
      <w:r w:rsidRPr="008F3DAA">
        <w:t>between those aged 50-64 and senior</w:t>
      </w:r>
      <w:r w:rsidR="002740C5">
        <w:rPr>
          <w:rFonts w:eastAsiaTheme="minorEastAsia" w:hint="eastAsia"/>
          <w:lang w:eastAsia="ko-KR"/>
        </w:rPr>
        <w:t>s</w:t>
      </w:r>
      <w:r w:rsidRPr="008F3DAA">
        <w:t>, the older group exhibits lower walking frequency and duration</w:t>
      </w:r>
      <w:r w:rsidR="00945070">
        <w:t xml:space="preserve"> levels</w:t>
      </w:r>
      <w:r w:rsidRPr="008F3DAA">
        <w:t xml:space="preserve">. </w:t>
      </w:r>
      <w:r>
        <w:t>For</w:t>
      </w:r>
      <w:r w:rsidRPr="00F7022E">
        <w:t xml:space="preserve"> individuals aged 65 and over, </w:t>
      </w:r>
      <w:r>
        <w:rPr>
          <w:rFonts w:eastAsiaTheme="minorEastAsia" w:hint="eastAsia"/>
          <w:lang w:eastAsia="ko-KR"/>
        </w:rPr>
        <w:t>significant barriers such as reduced mobility</w:t>
      </w:r>
      <w:r>
        <w:rPr>
          <w:rFonts w:eastAsiaTheme="minorEastAsia"/>
          <w:lang w:eastAsia="ko-KR"/>
        </w:rPr>
        <w:t xml:space="preserve"> and</w:t>
      </w:r>
      <w:r>
        <w:rPr>
          <w:rFonts w:eastAsiaTheme="minorEastAsia" w:hint="eastAsia"/>
          <w:lang w:eastAsia="ko-KR"/>
        </w:rPr>
        <w:t xml:space="preserve"> </w:t>
      </w:r>
      <w:r w:rsidRPr="00127C33">
        <w:rPr>
          <w:rFonts w:eastAsiaTheme="minorEastAsia" w:hint="eastAsia"/>
          <w:lang w:eastAsia="ko-KR"/>
        </w:rPr>
        <w:t>s</w:t>
      </w:r>
      <w:r w:rsidRPr="00127C33">
        <w:t xml:space="preserve">afety concerns, particularly the fear of falling or getting hurt, can result in decreased walking. This initiates a </w:t>
      </w:r>
      <w:r w:rsidR="00945070">
        <w:t xml:space="preserve">negative snowballing </w:t>
      </w:r>
      <w:r w:rsidRPr="00127C33">
        <w:t xml:space="preserve">cycle where lower walking levels diminish physical ability, </w:t>
      </w:r>
      <w:r w:rsidR="00945070">
        <w:t xml:space="preserve">that then </w:t>
      </w:r>
      <w:r w:rsidRPr="00127C33">
        <w:t>lead</w:t>
      </w:r>
      <w:r w:rsidR="00945070">
        <w:t xml:space="preserve">s </w:t>
      </w:r>
      <w:r w:rsidRPr="00127C33">
        <w:t xml:space="preserve">to </w:t>
      </w:r>
      <w:r w:rsidR="00945070">
        <w:t xml:space="preserve">even less walking, </w:t>
      </w:r>
      <w:r w:rsidR="006F6F47">
        <w:t xml:space="preserve">which further </w:t>
      </w:r>
      <w:r w:rsidR="00945070">
        <w:t>continues the downward spiral</w:t>
      </w:r>
      <w:r w:rsidRPr="00127C33">
        <w:rPr>
          <w:rFonts w:eastAsiaTheme="minorEastAsia" w:hint="eastAsia"/>
          <w:lang w:eastAsia="ko-KR"/>
        </w:rPr>
        <w:t xml:space="preserve"> </w:t>
      </w:r>
      <w:r w:rsidRPr="00127C33">
        <w:rPr>
          <w:rFonts w:eastAsiaTheme="minorEastAsia"/>
          <w:lang w:eastAsia="ko-KR"/>
        </w:rPr>
        <w:fldChar w:fldCharType="begin"/>
      </w:r>
      <w:r w:rsidRPr="00127C33">
        <w:rPr>
          <w:rFonts w:eastAsiaTheme="minorEastAsia"/>
          <w:lang w:eastAsia="ko-KR"/>
        </w:rPr>
        <w:instrText xml:space="preserve"> ADDIN ZOTERO_ITEM CSL_CITATION {"citationID":"GWm2KpNV","properties":{"formattedCitation":"(Freiberger et al., 2020)","plainCitation":"(Freiberger et al., 2020)","noteIndex":0},"citationItems":[{"id":1154,"uris":["http://zotero.org/users/10132210/items/528SBUCI"],"itemData":{"id":1154,"type":"article-journal","abstract":"Due to the demographic changes and the increasing awareness of the role of physical function, mobility in older age is becoming an important topic. Mobility limitations have been reported as increasingly prevalent in older persons affecting about 35% of persons aged 70 and the majority of persons over 85 years. Mobility limitations have been associated with increased fall risk, hospitalization, a decreased quality of life, and even mortality. As concepts of mobility are multifactorial and complex, in this narrative review, deﬁnitions, physical factors, and their age-related changes associated with mobility will be presented. Also, areas of cognitive decline and their impact on mobility, as well as neuromuscular factors related to mobility will be addressed. Another section will relate psychological factors such as Fall-related psychological concerns and sedentary behavior to mobility. Assessment of mobility as well as effective exercise interventions are only shortly addressed. In the last part, gaps and future work on mobility in older persons are discussed.","container-title":"Frontiers in Physiology","DOI":"10.3389/fphys.2020.00881","ISSN":"1664-042X","journalAbbreviation":"Front. Physiol.","language":"en","page":"881","source":"DOI.org (Crossref)","title":"Mobility in Older Community-Dwelling Persons: A Narrative Review","title-short":"Mobility in Older Community-Dwelling Persons","volume":"11","author":[{"family":"Freiberger","given":"Ellen"},{"family":"Sieber","given":"Cornel Christian"},{"family":"Kob","given":"Robert"}],"issued":{"date-parts":[["2020",9,15]]}}}],"schema":"https://github.com/citation-style-language/schema/raw/master/csl-citation.json"} </w:instrText>
      </w:r>
      <w:r w:rsidRPr="00127C33">
        <w:rPr>
          <w:rFonts w:eastAsiaTheme="minorEastAsia"/>
          <w:lang w:eastAsia="ko-KR"/>
        </w:rPr>
        <w:fldChar w:fldCharType="separate"/>
      </w:r>
      <w:r w:rsidRPr="00127C33">
        <w:rPr>
          <w:rFonts w:eastAsiaTheme="minorEastAsia"/>
        </w:rPr>
        <w:t>(Freiberger et al., 2020)</w:t>
      </w:r>
      <w:r w:rsidRPr="00127C33">
        <w:rPr>
          <w:rFonts w:eastAsiaTheme="minorEastAsia"/>
          <w:lang w:eastAsia="ko-KR"/>
        </w:rPr>
        <w:fldChar w:fldCharType="end"/>
      </w:r>
      <w:r w:rsidRPr="00127C33">
        <w:rPr>
          <w:rFonts w:eastAsiaTheme="minorEastAsia" w:hint="eastAsia"/>
          <w:lang w:eastAsia="ko-KR"/>
        </w:rPr>
        <w:t xml:space="preserve">. </w:t>
      </w:r>
      <w:r>
        <w:rPr>
          <w:rFonts w:eastAsiaTheme="minorEastAsia" w:hint="eastAsia"/>
          <w:lang w:eastAsia="ko-KR"/>
        </w:rPr>
        <w:t>G</w:t>
      </w:r>
      <w:r w:rsidRPr="00B50568">
        <w:t>roup walking initiatives and buddy systems</w:t>
      </w:r>
      <w:r>
        <w:t xml:space="preserve"> </w:t>
      </w:r>
      <w:r w:rsidR="00945070">
        <w:t xml:space="preserve">can help break this cycle, </w:t>
      </w:r>
      <w:r>
        <w:t>provid</w:t>
      </w:r>
      <w:r w:rsidR="00945070">
        <w:t>ing</w:t>
      </w:r>
      <w:r>
        <w:t xml:space="preserve"> support, shared experiences, and guidance from </w:t>
      </w:r>
      <w:r w:rsidR="00851C48">
        <w:t xml:space="preserve">group </w:t>
      </w:r>
      <w:r>
        <w:t>leaders on safe</w:t>
      </w:r>
      <w:r w:rsidR="00945070">
        <w:t>/</w:t>
      </w:r>
      <w:r>
        <w:t>accessible routes to alleviate fears</w:t>
      </w:r>
      <w:r w:rsidR="00945070">
        <w:t xml:space="preserve"> and </w:t>
      </w:r>
      <w:r w:rsidR="000F73C7">
        <w:t xml:space="preserve">instill </w:t>
      </w:r>
      <w:r w:rsidRPr="00B50568">
        <w:t>a sense of security</w:t>
      </w:r>
      <w:r w:rsidR="00945070">
        <w:t>.</w:t>
      </w:r>
      <w:r w:rsidRPr="00B50568">
        <w:t xml:space="preserve"> Having a regular walking partner also promotes accountability and motivation</w:t>
      </w:r>
      <w:r w:rsidR="00945070">
        <w:t xml:space="preserve"> for an active lifestyle</w:t>
      </w:r>
      <w:r w:rsidRPr="00B50568">
        <w:t>.</w:t>
      </w:r>
      <w:r>
        <w:t xml:space="preserve"> </w:t>
      </w:r>
      <w:r w:rsidRPr="008F06CC">
        <w:t>Policymakers can</w:t>
      </w:r>
      <w:r w:rsidR="00945070">
        <w:t xml:space="preserve"> </w:t>
      </w:r>
      <w:r>
        <w:t xml:space="preserve">encourage programs </w:t>
      </w:r>
      <w:r w:rsidRPr="008F06CC">
        <w:t>through partnerships with senior centers, parks</w:t>
      </w:r>
      <w:r w:rsidR="000F73C7">
        <w:t>/</w:t>
      </w:r>
      <w:r w:rsidRPr="008F06CC">
        <w:t xml:space="preserve">recreation departments, and healthcare providers. </w:t>
      </w:r>
      <w:r w:rsidR="00945070">
        <w:t xml:space="preserve">These partnerships can take the form of </w:t>
      </w:r>
      <w:r w:rsidRPr="008F06CC">
        <w:t>funding</w:t>
      </w:r>
      <w:r w:rsidR="000F73C7">
        <w:t xml:space="preserve"> </w:t>
      </w:r>
      <w:r w:rsidRPr="008F06CC">
        <w:t>and logistical suppor</w:t>
      </w:r>
      <w:r w:rsidR="00945070">
        <w:t xml:space="preserve">t for the formation of </w:t>
      </w:r>
      <w:r>
        <w:t xml:space="preserve">senior-focused walking groups led by trained facilitators </w:t>
      </w:r>
      <w:r w:rsidR="00945070">
        <w:t xml:space="preserve">to </w:t>
      </w:r>
      <w:r>
        <w:t>provide guidance on proper walking techniques, pacing, and safety measures</w:t>
      </w:r>
      <w:r w:rsidR="00945070">
        <w:t>.</w:t>
      </w:r>
    </w:p>
    <w:p w14:paraId="6A525F21" w14:textId="088F3F70" w:rsidR="00945070" w:rsidRDefault="00945070" w:rsidP="00662E40">
      <w:pPr>
        <w:pStyle w:val="whitespace-pre-wrap"/>
        <w:spacing w:before="0" w:beforeAutospacing="0" w:after="0" w:afterAutospacing="0"/>
        <w:ind w:firstLine="720"/>
        <w:jc w:val="both"/>
      </w:pPr>
      <w:r w:rsidRPr="00127C33">
        <w:t>Moving on to gender differences, women often face unique barriers to walking, such as feeling less</w:t>
      </w:r>
      <w:r w:rsidRPr="00127C33">
        <w:rPr>
          <w:rFonts w:eastAsiaTheme="minorEastAsia" w:hint="eastAsia"/>
          <w:lang w:eastAsia="ko-KR"/>
        </w:rPr>
        <w:t xml:space="preserve"> </w:t>
      </w:r>
      <w:r w:rsidRPr="00127C33">
        <w:t>safe walking alone, especially in certain areas or during certain times of the day, due to the risk of harassment or violence</w:t>
      </w:r>
      <w:r w:rsidRPr="00127C33">
        <w:rPr>
          <w:rFonts w:eastAsiaTheme="minorEastAsia"/>
          <w:lang w:eastAsia="ko-KR"/>
        </w:rPr>
        <w:t xml:space="preserve"> </w:t>
      </w:r>
      <w:r w:rsidRPr="00127C33">
        <w:fldChar w:fldCharType="begin"/>
      </w:r>
      <w:r w:rsidRPr="00127C33">
        <w:rPr>
          <w:rFonts w:eastAsiaTheme="minorEastAsia"/>
          <w:lang w:eastAsia="ko-KR"/>
        </w:rPr>
        <w:instrText xml:space="preserve"> ADDIN ZOTERO_ITEM CSL_CITATION {"citationID":"WWgoxldI","properties":{"formattedCitation":"(Ri\\uc0\\u353{}ov\\uc0\\u225{} &amp; Sl\\uc0\\u225{}dekov\\uc0\\u225{} Madajov\\uc0\\u225{}, 2020)","plainCitation":"(Rišová &amp; Sládeková Madajová, 2020)","dontUpdate":true,"noteIndex":0},"citationItems":[{"id":747,"uris":["http://zotero.org/users/10132210/items/QDAFLZBN"],"itemData":{"id":747,"type":"article-journal","abstract":"Background: A safe environment has been widely accepted as one of the most important walkability predictors. However, the relation between perceived safety and walkability has not been well established. Aims: This paper focuses on quantitative aspects of the relation between perceived safety and walkability, as well as examining spatio-temporal patterns of fear-related areas, with a special emphasis on gender diﬀerences among adolescents. Data and methods: Data regarding walkability perception and safety perception was collected during a mapping exercise in primary and grammar schools in Banská Bystrica city (central Slovakia), with a ﬁnal sample of 303 adolescents (13–16 years old, 54% girls). In the experiment, pre-prepared reply forms and maps divided into a square ﬁshnet were used.\nResults: Regardless of the time of day, girls felt less safe in public spaces than boys did, especially in the city centre. In general, fear-related spaces for boys were more dispersed than for girls, whose perceived risky areas were more compact and spatially concentrated. Girls' perception of walkability was more aﬀected by feeling safe than that of boys, with fewer gender diﬀerences at night.\nConclusions: By mitigating and even eliminating threats observed by girls, gender diﬀerences in the perception of barriers to walking can be reduced.","container-title":"Journal of Transport Geography","DOI":"10.1016/j.jtrangeo.2020.102723","ISSN":"09666923","journalAbbreviation":"Journal of Transport Geography","language":"en","page":"102723","source":"DOI.org (Crossref)","title":"Gender differences in a walking environment safety perception: A case study in a small town of Banská Bystrica (Slovakia)","title-short":"Gender differences in a walking environment safety perception","volume":"85","author":[{"family":"Rišová","given":"Katarína"},{"family":"Sládeková Madajová","given":"Michala"}],"issued":{"date-parts":[["2020",5]]}}}],"schema":"https://github.com/citation-style-language/schema/raw/master/csl-citation.json"} </w:instrText>
      </w:r>
      <w:r w:rsidRPr="00127C33">
        <w:fldChar w:fldCharType="separate"/>
      </w:r>
      <w:r w:rsidRPr="00127C33">
        <w:t xml:space="preserve">(see Rišová </w:t>
      </w:r>
      <w:r w:rsidRPr="00127C33">
        <w:rPr>
          <w:rFonts w:eastAsiaTheme="minorEastAsia"/>
          <w:lang w:eastAsia="ko-KR"/>
        </w:rPr>
        <w:t>and</w:t>
      </w:r>
      <w:r w:rsidRPr="00127C33">
        <w:t xml:space="preserve"> Sládeková Madajová, 2020)</w:t>
      </w:r>
      <w:r w:rsidRPr="00127C33">
        <w:fldChar w:fldCharType="end"/>
      </w:r>
      <w:r w:rsidRPr="00127C33">
        <w:t xml:space="preserve">. Social companionship can act as a deterrent to potential harassers or attackers. Additionally, women </w:t>
      </w:r>
      <w:r w:rsidR="000F73C7">
        <w:t xml:space="preserve">are known to </w:t>
      </w:r>
      <w:r w:rsidRPr="00127C33">
        <w:t xml:space="preserve">prioritize social </w:t>
      </w:r>
      <w:r w:rsidR="000F73C7">
        <w:t>interactions in general</w:t>
      </w:r>
      <w:r w:rsidR="000E3E78">
        <w:t xml:space="preserve"> </w:t>
      </w:r>
      <w:r w:rsidRPr="00127C33">
        <w:t>(see</w:t>
      </w:r>
      <w:r w:rsidRPr="00127C33">
        <w:rPr>
          <w:rFonts w:eastAsiaTheme="minorEastAsia"/>
          <w:lang w:eastAsia="ko-KR"/>
        </w:rPr>
        <w:t xml:space="preserve"> </w:t>
      </w:r>
      <w:r w:rsidRPr="00127C33">
        <w:rPr>
          <w:rFonts w:eastAsiaTheme="minorEastAsia"/>
          <w:lang w:eastAsia="ko-KR"/>
        </w:rPr>
        <w:fldChar w:fldCharType="begin"/>
      </w:r>
      <w:r w:rsidRPr="00127C33">
        <w:rPr>
          <w:rFonts w:eastAsiaTheme="minorEastAsia"/>
          <w:lang w:eastAsia="ko-KR"/>
        </w:rPr>
        <w:instrText xml:space="preserve"> ADDIN ZOTERO_ITEM CSL_CITATION {"citationID":"i4TgeFPT","properties":{"formattedCitation":"(Van Uffelen et al., 2017)","plainCitation":"(Van Uffelen et al., 2017)","dontUpdate":true,"noteIndex":0},"citationItems":[{"id":834,"uris":["http://zotero.org/users/10132210/items/PEQGBDLU"],"itemData":{"id":834,"type":"article-journal","abstract":"Background: Although regular participation in physical activity (PA) has health benefits across the life span, the proportion of people doing sufficient activity for these benefits decreases with age. The aim of this study was to identify motivating factors and context preferences for PA in people in their sixties, and to examine gender differences in these factors.\nMethods: Data were used from people aged 60–67 years who responded to a mail survey in Brisbane, Australia, in 2009. Respondents indicated their agreement/disagreement with seven PA motivators and 14 PA context preferences. Data were analyzed using multi-level multinomial logistic regression, adjusted for sociodemographic and health variables, and PA level.\nResults: Of the 1845 respondents, 59% was female. Based on self-reported PA, one in three respondents (35%) did not meet the PA guidelines of at least 150 min of moderate intensity PA per week. The three leading motivating factors for both women and men were to prevent health problems, to feel good and to lose weight. Women were more likely than men to be motivated by improving appearance (OR 2.93, 95%CI 2.07–4.15), spending time with others (1.76, 1.31–2.37), meeting friends (1.76, 1.31–2.36) or losing weight (1.74, 1.12–2.71). The three leading context preferences for both women and men were for activities close to home, at low cost and that could be done alone. Women were more likely than men to prefer activities that are with people of the same sex (OR 4.67, 95%CI 3.14–6.94), supervised (2.79, 1.94–4.02), with people the same age (2.00, 1.43–2.78) and at a fixed time (1.42, 1.06–1.91). Women were less likely than men to prefer activities that are competitive (OR 0.32, 95%CI 0.22–0. 46), are vigorous (0.33, 0.24–0.47), require skill and practice (0.40, 0.29–0.55) and done outdoors (0.51, 0.30–0.86).\nConclusion: Although there was overlap in motivating factors and context preferences for PA in women and men aged 60–67 years, there were also marked gender differences. These results suggest that PA options for people in their sixties should be tailored to meet gender specific interests in order to promote PA participation in this rapidly growing population group.","container-title":"BMC Public Health","DOI":"10.1186/s12889-017-4540-0","ISSN":"1471-2458","issue":"1","journalAbbreviation":"BMC Public Health","language":"en","note":"number: 1","page":"624","source":"DOI.org (Crossref)","title":"Gender differences in physical activity motivators and context preferences: a population-based study in people in their sixties","title-short":"Gender differences in physical activity motivators and context preferences","volume":"17","author":[{"family":"Van Uffelen","given":"Jannique G. Z."},{"family":"Khan","given":"Asaduzzaman"},{"family":"Burton","given":"Nicola W."}],"issued":{"date-parts":[["2017",12]]}}}],"schema":"https://github.com/citation-style-language/schema/raw/master/csl-citation.json"} </w:instrText>
      </w:r>
      <w:r w:rsidRPr="00127C33">
        <w:rPr>
          <w:rFonts w:eastAsiaTheme="minorEastAsia"/>
          <w:lang w:eastAsia="ko-KR"/>
        </w:rPr>
        <w:fldChar w:fldCharType="separate"/>
      </w:r>
      <w:r w:rsidRPr="00127C33">
        <w:rPr>
          <w:rFonts w:eastAsiaTheme="minorEastAsia"/>
        </w:rPr>
        <w:t>Van Uffelen et al., 2017)</w:t>
      </w:r>
      <w:r w:rsidRPr="00127C33">
        <w:rPr>
          <w:rFonts w:eastAsiaTheme="minorEastAsia"/>
          <w:lang w:eastAsia="ko-KR"/>
        </w:rPr>
        <w:fldChar w:fldCharType="end"/>
      </w:r>
      <w:r w:rsidRPr="00127C33">
        <w:t>, viewing</w:t>
      </w:r>
      <w:r w:rsidR="000E3E78">
        <w:t xml:space="preserve"> </w:t>
      </w:r>
      <w:r w:rsidR="000F73C7">
        <w:t>social networking</w:t>
      </w:r>
      <w:r w:rsidR="000E3E78">
        <w:t xml:space="preserve"> </w:t>
      </w:r>
      <w:r w:rsidRPr="00127C33">
        <w:t xml:space="preserve">as a way to build </w:t>
      </w:r>
      <w:r w:rsidR="000F73C7">
        <w:t xml:space="preserve">personal </w:t>
      </w:r>
      <w:r w:rsidRPr="00127C33">
        <w:t xml:space="preserve">relationships. This </w:t>
      </w:r>
      <w:r w:rsidR="000F73C7">
        <w:t xml:space="preserve">generic </w:t>
      </w:r>
      <w:r w:rsidRPr="00127C33">
        <w:t>social</w:t>
      </w:r>
      <w:r w:rsidR="000E3E78">
        <w:t xml:space="preserve"> </w:t>
      </w:r>
      <w:r w:rsidR="000F73C7">
        <w:t xml:space="preserve">tendency, </w:t>
      </w:r>
      <w:r w:rsidR="000E3E78">
        <w:t xml:space="preserve">however, does not seem to translate to </w:t>
      </w:r>
      <w:r w:rsidR="000F73C7">
        <w:t xml:space="preserve">group walking among </w:t>
      </w:r>
      <w:r w:rsidR="000E3E78">
        <w:t>wo</w:t>
      </w:r>
      <w:r w:rsidR="000F73C7">
        <w:t>men</w:t>
      </w:r>
      <w:r w:rsidR="000E3E78">
        <w:t xml:space="preserve">, but opens up an avenue to leverage such motivations. </w:t>
      </w:r>
      <w:r>
        <w:t>Existing o</w:t>
      </w:r>
      <w:r w:rsidRPr="00FA21A9">
        <w:t xml:space="preserve">nline platforms </w:t>
      </w:r>
      <w:r>
        <w:t>such</w:t>
      </w:r>
      <w:r w:rsidRPr="00FA21A9">
        <w:t xml:space="preserve"> </w:t>
      </w:r>
      <w:r w:rsidR="000F73C7">
        <w:t xml:space="preserve">as </w:t>
      </w:r>
      <w:r w:rsidRPr="00FA21A9">
        <w:t>Meetup</w:t>
      </w:r>
      <w:r>
        <w:t xml:space="preserve">, </w:t>
      </w:r>
      <w:proofErr w:type="spellStart"/>
      <w:r w:rsidRPr="00FA21A9">
        <w:t>SweatPal</w:t>
      </w:r>
      <w:r>
        <w:t>s</w:t>
      </w:r>
      <w:proofErr w:type="spellEnd"/>
      <w:r>
        <w:t>, and Facebook groups</w:t>
      </w:r>
      <w:r w:rsidRPr="00FA21A9">
        <w:t xml:space="preserve"> </w:t>
      </w:r>
      <w:r w:rsidR="000E3E78">
        <w:t xml:space="preserve">can be </w:t>
      </w:r>
      <w:r w:rsidR="006F6F47">
        <w:t xml:space="preserve">employed </w:t>
      </w:r>
      <w:r w:rsidR="000E3E78">
        <w:t xml:space="preserve">to </w:t>
      </w:r>
      <w:r w:rsidRPr="00FA21A9">
        <w:t>organiz</w:t>
      </w:r>
      <w:r w:rsidR="000E3E78">
        <w:t>e</w:t>
      </w:r>
      <w:r w:rsidRPr="00FA21A9">
        <w:t xml:space="preserve"> women-focused walking events</w:t>
      </w:r>
      <w:r>
        <w:t xml:space="preserve"> </w:t>
      </w:r>
      <w:r w:rsidR="000F73C7">
        <w:t>at</w:t>
      </w:r>
      <w:r w:rsidRPr="00E21ADD">
        <w:t xml:space="preserve"> local parks, trails, </w:t>
      </w:r>
      <w:r w:rsidR="000F73C7">
        <w:t>and</w:t>
      </w:r>
      <w:r w:rsidRPr="00E21ADD">
        <w:t xml:space="preserve"> neighborhoods</w:t>
      </w:r>
      <w:r w:rsidR="000E3E78">
        <w:t>.</w:t>
      </w:r>
      <w:r w:rsidRPr="00FA21A9">
        <w:t xml:space="preserve"> Such platforms </w:t>
      </w:r>
      <w:r w:rsidR="000E3E78">
        <w:t xml:space="preserve">can </w:t>
      </w:r>
      <w:r w:rsidRPr="00FA21A9">
        <w:t>also benefit other</w:t>
      </w:r>
      <w:r>
        <w:t xml:space="preserve"> demographic</w:t>
      </w:r>
      <w:r w:rsidRPr="00FA21A9">
        <w:t xml:space="preserve"> groups</w:t>
      </w:r>
      <w:r>
        <w:t>,</w:t>
      </w:r>
      <w:r w:rsidRPr="00FA21A9">
        <w:t xml:space="preserve"> </w:t>
      </w:r>
      <w:r>
        <w:t>such as</w:t>
      </w:r>
      <w:r w:rsidRPr="00FA21A9">
        <w:t xml:space="preserve"> singles (</w:t>
      </w:r>
      <w:r w:rsidR="000E3E78">
        <w:t>for example</w:t>
      </w:r>
      <w:r w:rsidRPr="00FA21A9">
        <w:t>, "Single's Hike" event</w:t>
      </w:r>
      <w:r w:rsidR="000E3E78">
        <w:t>s</w:t>
      </w:r>
      <w:r w:rsidRPr="00FA21A9">
        <w:t xml:space="preserve"> on Meetup)</w:t>
      </w:r>
      <w:r w:rsidR="000F73C7">
        <w:t>,</w:t>
      </w:r>
      <w:r w:rsidRPr="00FA21A9">
        <w:t xml:space="preserve"> who are</w:t>
      </w:r>
      <w:r>
        <w:rPr>
          <w:rFonts w:eastAsiaTheme="minorEastAsia" w:hint="eastAsia"/>
          <w:lang w:eastAsia="ko-KR"/>
        </w:rPr>
        <w:t xml:space="preserve"> </w:t>
      </w:r>
      <w:r w:rsidRPr="00935463">
        <w:t>29.0%</w:t>
      </w:r>
      <w:r w:rsidRPr="00FA21A9">
        <w:t xml:space="preserve"> less likely to walk with companions based on the ATE analysis.</w:t>
      </w:r>
      <w:r>
        <w:t xml:space="preserve"> Also, </w:t>
      </w:r>
      <w:r w:rsidRPr="00A83242">
        <w:t xml:space="preserve">households </w:t>
      </w:r>
      <w:r w:rsidRPr="00935463">
        <w:t xml:space="preserve">with children, who </w:t>
      </w:r>
      <w:r w:rsidRPr="00935463">
        <w:rPr>
          <w:rFonts w:eastAsiaTheme="minorEastAsia" w:hint="eastAsia"/>
          <w:lang w:eastAsia="ko-KR"/>
        </w:rPr>
        <w:t>exhibit a</w:t>
      </w:r>
      <w:r w:rsidRPr="00935463">
        <w:t xml:space="preserve"> high propensity for walking with companions (ATE of 29.0%),</w:t>
      </w:r>
      <w:r w:rsidRPr="00FA21A9">
        <w:t xml:space="preserve"> </w:t>
      </w:r>
      <w:r w:rsidRPr="00E02C26">
        <w:t xml:space="preserve">can greatly benefit from </w:t>
      </w:r>
      <w:r w:rsidR="006E46DA">
        <w:t xml:space="preserve">group </w:t>
      </w:r>
      <w:r w:rsidRPr="00CA64D5">
        <w:t xml:space="preserve">walking initiatives that facilitate bonding experiences </w:t>
      </w:r>
      <w:r w:rsidR="006E46DA">
        <w:t xml:space="preserve">across family/friend networks. </w:t>
      </w:r>
      <w:r w:rsidRPr="00CA64D5">
        <w:t xml:space="preserve">Walking clubs that accommodate all ages, </w:t>
      </w:r>
      <w:r w:rsidRPr="00CA64D5">
        <w:lastRenderedPageBreak/>
        <w:t xml:space="preserve">with flexible schedules and family-friendly routes, can </w:t>
      </w:r>
      <w:r w:rsidR="006E46DA">
        <w:t xml:space="preserve">particularly encourage multi-generational group </w:t>
      </w:r>
      <w:r w:rsidRPr="00CA64D5">
        <w:t>walk</w:t>
      </w:r>
      <w:r w:rsidR="006E46DA">
        <w:t>s</w:t>
      </w:r>
      <w:r w:rsidRPr="00CA64D5">
        <w:t>.</w:t>
      </w:r>
      <w:r w:rsidRPr="00A83242" w:rsidDel="00E02C26">
        <w:t xml:space="preserve"> </w:t>
      </w:r>
    </w:p>
    <w:p w14:paraId="24E83BEB" w14:textId="19DB3159" w:rsidR="00D452EC" w:rsidRDefault="000F73C7" w:rsidP="00662E40">
      <w:pPr>
        <w:pStyle w:val="whitespace-pre-wrap"/>
        <w:spacing w:before="0" w:beforeAutospacing="0" w:after="0" w:afterAutospacing="0"/>
        <w:ind w:firstLine="720"/>
        <w:jc w:val="both"/>
      </w:pPr>
      <w:r>
        <w:t>Table 6 reveals that r</w:t>
      </w:r>
      <w:r w:rsidR="00D452EC" w:rsidRPr="00D2089A">
        <w:t xml:space="preserve">acial minorities, </w:t>
      </w:r>
      <w:r w:rsidR="00851C48">
        <w:t>particularly</w:t>
      </w:r>
      <w:r w:rsidR="00851C48" w:rsidRPr="00D2089A">
        <w:t xml:space="preserve"> </w:t>
      </w:r>
      <w:r w:rsidR="00D452EC" w:rsidRPr="00D2089A">
        <w:t xml:space="preserve">Black individuals, </w:t>
      </w:r>
      <w:r w:rsidR="00851C48">
        <w:t>experience lower</w:t>
      </w:r>
      <w:r w:rsidR="00D452EC" w:rsidRPr="00D2089A">
        <w:t xml:space="preserve"> walking </w:t>
      </w:r>
      <w:r w:rsidR="00851C48">
        <w:t>frequency and duration, primarily due to their reduced likelihood of walking with companions</w:t>
      </w:r>
      <w:r w:rsidR="00D452EC" w:rsidRPr="00D2089A">
        <w:t>.</w:t>
      </w:r>
      <w:r w:rsidR="00D452EC">
        <w:t xml:space="preserve"> </w:t>
      </w:r>
      <w:r w:rsidR="00D452EC" w:rsidRPr="00D2089A">
        <w:t xml:space="preserve">Meanwhile, </w:t>
      </w:r>
      <w:r w:rsidR="009C57EE">
        <w:t xml:space="preserve">compared to those from high-income groups, </w:t>
      </w:r>
      <w:r w:rsidR="00D452EC" w:rsidRPr="00D2089A">
        <w:t xml:space="preserve">low-income individuals walk </w:t>
      </w:r>
      <w:r w:rsidR="009C57EE">
        <w:t>around</w:t>
      </w:r>
      <w:r w:rsidR="00911614">
        <w:rPr>
          <w:rFonts w:eastAsiaTheme="minorEastAsia" w:hint="eastAsia"/>
          <w:lang w:eastAsia="ko-KR"/>
        </w:rPr>
        <w:t xml:space="preserve"> </w:t>
      </w:r>
      <w:r w:rsidR="00137651">
        <w:rPr>
          <w:rFonts w:eastAsiaTheme="minorEastAsia"/>
          <w:lang w:eastAsia="ko-KR"/>
        </w:rPr>
        <w:t>5.8</w:t>
      </w:r>
      <w:r w:rsidR="00912080">
        <w:rPr>
          <w:rFonts w:eastAsiaTheme="minorEastAsia" w:hint="eastAsia"/>
          <w:lang w:eastAsia="ko-KR"/>
        </w:rPr>
        <w:t>%</w:t>
      </w:r>
      <w:r w:rsidR="00D452EC" w:rsidRPr="00D2089A">
        <w:t xml:space="preserve"> less frequently and</w:t>
      </w:r>
      <w:r w:rsidR="009C57EE">
        <w:t xml:space="preserve"> for about</w:t>
      </w:r>
      <w:r w:rsidR="00912080">
        <w:rPr>
          <w:rFonts w:eastAsiaTheme="minorEastAsia" w:hint="eastAsia"/>
          <w:lang w:eastAsia="ko-KR"/>
        </w:rPr>
        <w:t xml:space="preserve"> </w:t>
      </w:r>
      <w:r w:rsidR="00E054AD">
        <w:rPr>
          <w:rFonts w:eastAsiaTheme="minorEastAsia"/>
          <w:lang w:eastAsia="ko-KR"/>
        </w:rPr>
        <w:t>14.9</w:t>
      </w:r>
      <w:r w:rsidR="00912080">
        <w:rPr>
          <w:rFonts w:eastAsiaTheme="minorEastAsia" w:hint="eastAsia"/>
          <w:lang w:eastAsia="ko-KR"/>
        </w:rPr>
        <w:t>%</w:t>
      </w:r>
      <w:r w:rsidR="00D452EC" w:rsidRPr="00D2089A">
        <w:t xml:space="preserve"> shorter durations, </w:t>
      </w:r>
      <w:r w:rsidR="006E46DA">
        <w:t>though there is no variation in social accompaniment between income groups</w:t>
      </w:r>
      <w:r w:rsidR="00D452EC" w:rsidRPr="00D2089A">
        <w:t xml:space="preserve">. </w:t>
      </w:r>
      <w:r w:rsidR="006E46DA">
        <w:t>Regardless, i</w:t>
      </w:r>
      <w:r w:rsidR="00851C48">
        <w:t xml:space="preserve">nterventions focusing on </w:t>
      </w:r>
      <w:r w:rsidR="00D452EC" w:rsidRPr="00D2089A">
        <w:t xml:space="preserve">companionship can benefit </w:t>
      </w:r>
      <w:r w:rsidR="006E46DA">
        <w:t xml:space="preserve">Black and </w:t>
      </w:r>
      <w:r w:rsidR="00D452EC" w:rsidRPr="00D2089A">
        <w:t>low-income populations</w:t>
      </w:r>
      <w:r w:rsidR="006E46DA">
        <w:t>;</w:t>
      </w:r>
      <w:r w:rsidR="00D452EC" w:rsidRPr="00D2089A">
        <w:t xml:space="preserve"> </w:t>
      </w:r>
      <w:r w:rsidR="00851C48">
        <w:rPr>
          <w:rFonts w:eastAsiaTheme="minorEastAsia"/>
          <w:lang w:eastAsia="ko-KR"/>
        </w:rPr>
        <w:t>p</w:t>
      </w:r>
      <w:r w:rsidR="00D452EC">
        <w:t xml:space="preserve">revious studies </w:t>
      </w:r>
      <w:r w:rsidR="00851C48">
        <w:t xml:space="preserve">have demonstrated the </w:t>
      </w:r>
      <w:r w:rsidR="00D452EC">
        <w:t>importan</w:t>
      </w:r>
      <w:r w:rsidR="00851C48">
        <w:t>t</w:t>
      </w:r>
      <w:r w:rsidR="00D452EC">
        <w:t xml:space="preserve"> </w:t>
      </w:r>
      <w:r w:rsidR="00851C48">
        <w:t xml:space="preserve">role that </w:t>
      </w:r>
      <w:r w:rsidR="00D452EC">
        <w:t xml:space="preserve">fostering </w:t>
      </w:r>
      <w:r w:rsidR="00D452EC" w:rsidRPr="00127C33">
        <w:t xml:space="preserve">social cohesion and </w:t>
      </w:r>
      <w:r w:rsidR="00D1345E" w:rsidRPr="00127C33">
        <w:t xml:space="preserve">social </w:t>
      </w:r>
      <w:r w:rsidR="00D452EC" w:rsidRPr="00127C33">
        <w:t xml:space="preserve">capital </w:t>
      </w:r>
      <w:r w:rsidR="00851C48" w:rsidRPr="00127C33">
        <w:t xml:space="preserve">plays </w:t>
      </w:r>
      <w:r w:rsidR="0027056D" w:rsidRPr="00127C33">
        <w:t xml:space="preserve">in </w:t>
      </w:r>
      <w:r w:rsidR="00633F80">
        <w:t xml:space="preserve">dealing with, and cushioning, the repercussions of systemic </w:t>
      </w:r>
      <w:r w:rsidR="00D452EC" w:rsidRPr="00127C33">
        <w:t xml:space="preserve">inequalities </w:t>
      </w:r>
      <w:r w:rsidR="00633F80">
        <w:t xml:space="preserve">in society, even beyond the physical health benefits of </w:t>
      </w:r>
      <w:r w:rsidR="00D452EC" w:rsidRPr="00127C33">
        <w:t>walking groups (see</w:t>
      </w:r>
      <w:r w:rsidR="00D452EC" w:rsidRPr="00127C33">
        <w:rPr>
          <w:rFonts w:eastAsiaTheme="minorEastAsia" w:hint="eastAsia"/>
          <w:lang w:eastAsia="ko-KR"/>
        </w:rPr>
        <w:t xml:space="preserve"> </w:t>
      </w:r>
      <w:r w:rsidR="00D452EC" w:rsidRPr="00127C33">
        <w:rPr>
          <w:rFonts w:eastAsiaTheme="minorEastAsia"/>
          <w:lang w:eastAsia="ko-KR"/>
        </w:rPr>
        <w:fldChar w:fldCharType="begin"/>
      </w:r>
      <w:r w:rsidR="00D452EC" w:rsidRPr="00127C33">
        <w:rPr>
          <w:rFonts w:eastAsiaTheme="minorEastAsia"/>
          <w:lang w:eastAsia="ko-KR"/>
        </w:rPr>
        <w:instrText xml:space="preserve"> ADDIN ZOTERO_ITEM CSL_CITATION {"citationID":"pUiaux64","properties":{"formattedCitation":"(Rigby et al., 2020)","plainCitation":"(Rigby et al., 2020)","dontUpdate":true,"noteIndex":0},"citationItems":[{"id":1156,"uris":["http://zotero.org/users/10132210/items/JBS4TCYR"],"itemData":{"id":1156,"type":"article-journal","abstract":"Background: Outdoor walking groups are widely-used programmes aimed at improving physical activity and health outcomes. Despite being promoted as accessible and inclusive, emerging work highlights participation biases based on gender, age and socioeconomic status, for example. To explicate the impact of outdoor walking groups on physical activity inequities, we conducted a scoping review of published outdoor walking group literatures. Specifically, we critically examined: (a) equity integration strategies; (b) intervention reach; (c) effectiveness; and (d) potential social determinants of engagement relating to the World Health Organization’s conceptual framework.","container-title":"Public Health Reviews","DOI":"10.1186/s40985-020-00119-4","ISSN":"2107-6952","issue":"1","journalAbbreviation":"Public Health Rev","language":"en","page":"4","source":"DOI.org (Crossref)","title":"Inequities and inequalities in outdoor walking groups: a scoping review","title-short":"Inequities and inequalities in outdoor walking groups","volume":"41","author":[{"family":"Rigby","given":"Benjamin P."},{"family":"Dodd-Reynolds","given":"Caroline J."},{"family":"Oliver","given":"Emily J."}],"issued":{"date-parts":[["2020",12]]}}}],"schema":"https://github.com/citation-style-language/schema/raw/master/csl-citation.json"} </w:instrText>
      </w:r>
      <w:r w:rsidR="00D452EC" w:rsidRPr="00127C33">
        <w:rPr>
          <w:rFonts w:eastAsiaTheme="minorEastAsia"/>
          <w:lang w:eastAsia="ko-KR"/>
        </w:rPr>
        <w:fldChar w:fldCharType="separate"/>
      </w:r>
      <w:r w:rsidR="00D452EC" w:rsidRPr="00127C33">
        <w:rPr>
          <w:rFonts w:eastAsiaTheme="minorEastAsia"/>
        </w:rPr>
        <w:t>Rigby et al., 2020</w:t>
      </w:r>
      <w:r w:rsidR="00D452EC" w:rsidRPr="00127C33">
        <w:rPr>
          <w:rFonts w:eastAsiaTheme="minorEastAsia"/>
          <w:lang w:eastAsia="ko-KR"/>
        </w:rPr>
        <w:fldChar w:fldCharType="end"/>
      </w:r>
      <w:r w:rsidR="00D452EC" w:rsidRPr="00127C33">
        <w:t xml:space="preserve"> for a comprehensive review of the relevant literature). Potential strategies include forming groups with shared backgrounds to create a sense of belonging</w:t>
      </w:r>
      <w:r w:rsidR="00633F80">
        <w:t>,</w:t>
      </w:r>
      <w:r w:rsidR="00D452EC" w:rsidRPr="00127C33">
        <w:t xml:space="preserve"> and supporting the development of community-based walking programs that are led by trusted local organizations, such as churches or cultural centers</w:t>
      </w:r>
      <w:r w:rsidR="00633F80">
        <w:t xml:space="preserve">. This should be particularly effective for </w:t>
      </w:r>
      <w:r w:rsidR="00D452EC" w:rsidRPr="00127C33">
        <w:t xml:space="preserve">racial minorities, who have lower levels of generalized trust, trust in neighbors, and trust in community due to </w:t>
      </w:r>
      <w:r w:rsidR="00633F80">
        <w:t>racism-related experiences</w:t>
      </w:r>
      <w:r w:rsidR="00D452EC" w:rsidRPr="00127C33">
        <w:t xml:space="preserve"> (see</w:t>
      </w:r>
      <w:r w:rsidR="0015667B" w:rsidRPr="00127C33">
        <w:rPr>
          <w:rFonts w:eastAsiaTheme="minorEastAsia"/>
        </w:rPr>
        <w:t xml:space="preserve"> Wilkes </w:t>
      </w:r>
      <w:r w:rsidR="0015667B" w:rsidRPr="00127C33">
        <w:rPr>
          <w:rFonts w:eastAsiaTheme="minorEastAsia"/>
          <w:lang w:eastAsia="ko-KR"/>
        </w:rPr>
        <w:t>and</w:t>
      </w:r>
      <w:r w:rsidR="0015667B" w:rsidRPr="00127C33">
        <w:rPr>
          <w:rFonts w:eastAsiaTheme="minorEastAsia"/>
        </w:rPr>
        <w:t xml:space="preserve"> Wu, 2019, and</w:t>
      </w:r>
      <w:r w:rsidR="00D452EC" w:rsidRPr="00127C33">
        <w:rPr>
          <w:rFonts w:eastAsiaTheme="minorEastAsia"/>
          <w:lang w:eastAsia="ko-KR"/>
        </w:rPr>
        <w:t xml:space="preserve"> </w:t>
      </w:r>
      <w:r w:rsidR="00D452EC" w:rsidRPr="00127C33">
        <w:rPr>
          <w:rFonts w:eastAsiaTheme="minorEastAsia"/>
          <w:lang w:eastAsia="ko-KR"/>
        </w:rPr>
        <w:fldChar w:fldCharType="begin"/>
      </w:r>
      <w:r w:rsidR="00D452EC" w:rsidRPr="00127C33">
        <w:rPr>
          <w:rFonts w:eastAsiaTheme="minorEastAsia"/>
          <w:lang w:eastAsia="ko-KR"/>
        </w:rPr>
        <w:instrText xml:space="preserve"> ADDIN ZOTERO_ITEM CSL_CITATION {"citationID":"TxGHii3l","properties":{"formattedCitation":"(Evangelist, 2022; Wilkes &amp; Wu, 2019)","plainCitation":"(Evangelist, 2022; Wilkes &amp; Wu, 2019)","dontUpdate":true,"noteIndex":0},"citationItems":[{"id":1160,"uris":["http://zotero.org/users/10132210/items/QWGDTKVN"],"itemData":{"id":1160,"type":"article-journal","abstract":"In the United States, survey research and qualitative studies consistently ﬁnd that people of color—and Blacks in particular—report substantially lower levels of trust than do whites. These racial differences in trust pervade a range of social contexts, from interpersonal relationships with friends, family, and neighbors to interactions with the health care and criminal justice systems. Scholars often attribute racial differences in trust to historical and contemporary forms of discrimination, yet few studies have assessed the relationship among race, discrimination, and trust in the context of the United States. Using the Chicago Community Adult Health Study, I examine how the experience of discrimination relates to generalized trust, trust in neighbors, and trust in community police. Findings reveal that personal experience with discrimination contributes modestly to racial differences in trust. In fact, the negative association between discrimination and generalized trust appears strongest for whites. These ﬁndings suggest that understanding distrust requires a richer conceptual framework that moves beyond personal experience with discrimination. I argue that the theory of systemic racism provides a framework for understanding distrust as a consequence of countervailing efforts to uphold and contest the racial hierarchy.","container-title":"Social Problems","DOI":"10.1093/socpro/spab011","ISSN":"0037-7791, 1533-8533","issue":"4","language":"en","license":"https://academic.oup.com/journals/pages/open_access/funder_policies/chorus/standard_publication_model","page":"1109-1136","source":"DOI.org (Crossref)","title":"Narrowing Racial Differences in Trust: How Discrimination Shapes Trust in a Racialized Society","title-short":"Narrowing Racial Differences in Trust","volume":"69","author":[{"family":"Evangelist","given":"Michael"}],"issued":{"date-parts":[["2022",10,11]]}}},{"id":1159,"uris":["http://zotero.org/users/10132210/items/FEPYIPDV"],"itemData":{"id":1159,"type":"article-journal","abstract":"Many immigrants experience discrimination. In this paper we consider how discrimination affects their trust. We make a theoretical case for a formal mediation approach to studying the immigration, discrimination, and trust relationship. This approach shifts attention to the basic fact that the overall levels of discrimination experienced by different immigrant and native-born groups are not the same. We also build on previous empirical research by considering multiple forms of discrimination, multiple types of trust and multiple immigrant/native-born groups. Drawing on the 2013 Canadian General Social Survey data (N = 27,695) we analyze differences in three kinds of trust (generalized trust, trust in speciﬁc others, and political trust), and the role of perceived discrimination (ethnic, racial, any), between ﬁve immigrant-native groups (Canadian-born whites, Canadian-born people of color, foreign-born whites, foreign-born people of color, and Indigenous people). We ﬁnd that perceived discrimination is more relevant to general trust and trust in speciﬁc others than to political trust. We also ﬁnd that perceived discrimination explains more of the trust gap between racialized immigrants and the native-born than the gap between non-racialized immigrants and the native-born. The results illustrate that what appears to be a simple relationship is far more complex when attempting to explain group differences.","container-title":"Frontiers in Sociology","DOI":"10.3389/fsoc.2019.00032","ISSN":"2297-7775","journalAbbreviation":"Front. Sociol.","language":"en","page":"32","source":"DOI.org (Crossref)","title":"Immigration, Discrimination, and Trust: A Simply Complex Relationship","title-short":"Immigration, Discrimination, and Trust","volume":"4","author":[{"family":"Wilkes","given":"Rima"},{"family":"Wu","given":"Cary"}],"issued":{"date-parts":[["2019",5,17]]}}}],"schema":"https://github.com/citation-style-language/schema/raw/master/csl-citation.json"} </w:instrText>
      </w:r>
      <w:r w:rsidR="00D452EC" w:rsidRPr="00127C33">
        <w:rPr>
          <w:rFonts w:eastAsiaTheme="minorEastAsia"/>
          <w:lang w:eastAsia="ko-KR"/>
        </w:rPr>
        <w:fldChar w:fldCharType="separate"/>
      </w:r>
      <w:r w:rsidR="00D452EC" w:rsidRPr="00127C33">
        <w:rPr>
          <w:rFonts w:eastAsiaTheme="minorEastAsia"/>
        </w:rPr>
        <w:t>Evangelist, 2022</w:t>
      </w:r>
      <w:r w:rsidR="0015667B" w:rsidRPr="00127C33">
        <w:rPr>
          <w:rFonts w:eastAsiaTheme="minorEastAsia"/>
        </w:rPr>
        <w:t>)</w:t>
      </w:r>
      <w:r w:rsidR="00D452EC" w:rsidRPr="00127C33">
        <w:rPr>
          <w:rFonts w:eastAsiaTheme="minorEastAsia"/>
          <w:lang w:eastAsia="ko-KR"/>
        </w:rPr>
        <w:fldChar w:fldCharType="end"/>
      </w:r>
      <w:r w:rsidR="00851C48" w:rsidRPr="00127C33">
        <w:rPr>
          <w:rFonts w:eastAsiaTheme="minorEastAsia"/>
          <w:lang w:eastAsia="ko-KR"/>
        </w:rPr>
        <w:t>.</w:t>
      </w:r>
      <w:r w:rsidR="00D452EC" w:rsidRPr="00127C33">
        <w:t xml:space="preserve"> </w:t>
      </w:r>
    </w:p>
    <w:p w14:paraId="0900E6B2" w14:textId="77777777" w:rsidR="00662E40" w:rsidRPr="00127C33" w:rsidRDefault="00662E40" w:rsidP="00662E40">
      <w:pPr>
        <w:pStyle w:val="whitespace-pre-wrap"/>
        <w:spacing w:before="0" w:beforeAutospacing="0" w:after="0" w:afterAutospacing="0"/>
        <w:ind w:firstLine="720"/>
        <w:jc w:val="both"/>
        <w:rPr>
          <w:rFonts w:eastAsiaTheme="minorEastAsia"/>
          <w:lang w:eastAsia="ko-KR"/>
        </w:rPr>
      </w:pPr>
    </w:p>
    <w:p w14:paraId="54F90582" w14:textId="41A520E4" w:rsidR="00FE6939" w:rsidRPr="00A40901" w:rsidRDefault="00FE6939" w:rsidP="00662E40">
      <w:pPr>
        <w:pStyle w:val="Heading2"/>
        <w:spacing w:line="240" w:lineRule="auto"/>
        <w:ind w:hanging="540"/>
        <w:contextualSpacing w:val="0"/>
        <w:rPr>
          <w:rFonts w:eastAsiaTheme="minorEastAsia"/>
          <w:lang w:eastAsia="ko-KR"/>
        </w:rPr>
      </w:pPr>
      <w:r>
        <w:rPr>
          <w:rFonts w:eastAsiaTheme="minorEastAsia"/>
          <w:lang w:eastAsia="ko-KR"/>
        </w:rPr>
        <w:t>Improving Infrastructure and the Built-Environment</w:t>
      </w:r>
    </w:p>
    <w:p w14:paraId="250B541E" w14:textId="3F028694" w:rsidR="00D452EC" w:rsidRDefault="00D452EC" w:rsidP="00662E40">
      <w:pPr>
        <w:pStyle w:val="whitespace-pre-wrap"/>
        <w:spacing w:before="0" w:beforeAutospacing="0" w:after="0" w:afterAutospacing="0"/>
        <w:jc w:val="both"/>
      </w:pPr>
      <w:r w:rsidRPr="00CB58EA">
        <w:t>Beyond the mediating effects of companionship, individual and household characteristics also direct</w:t>
      </w:r>
      <w:r w:rsidR="00851C48">
        <w:t>ly</w:t>
      </w:r>
      <w:r w:rsidRPr="00CB58EA">
        <w:t xml:space="preserve"> influence walking frequency and duration, </w:t>
      </w:r>
      <w:r w:rsidR="00AB095C">
        <w:t>suggesting</w:t>
      </w:r>
      <w:r w:rsidRPr="00CB58EA">
        <w:t xml:space="preserve"> </w:t>
      </w:r>
      <w:r w:rsidR="00AB095C">
        <w:t>customized</w:t>
      </w:r>
      <w:r w:rsidRPr="00CB58EA">
        <w:t xml:space="preserve"> measures to address the </w:t>
      </w:r>
      <w:r w:rsidR="00AB095C">
        <w:t xml:space="preserve">walking </w:t>
      </w:r>
      <w:r w:rsidRPr="00CB58EA">
        <w:t>barriers faced by different groups.</w:t>
      </w:r>
      <w:r>
        <w:t xml:space="preserve"> </w:t>
      </w:r>
    </w:p>
    <w:p w14:paraId="3EA6C762" w14:textId="2149023A" w:rsidR="00D452EC" w:rsidRDefault="00D452EC" w:rsidP="00662E40">
      <w:pPr>
        <w:pStyle w:val="whitespace-pre-wrap"/>
        <w:spacing w:before="0" w:beforeAutospacing="0" w:after="0" w:afterAutospacing="0"/>
        <w:ind w:firstLine="720"/>
        <w:jc w:val="both"/>
        <w:rPr>
          <w:rFonts w:eastAsiaTheme="minorEastAsia"/>
          <w:lang w:eastAsia="ko-KR"/>
        </w:rPr>
      </w:pPr>
      <w:r>
        <w:t>To improve the walking environment for seniors</w:t>
      </w:r>
      <w:r w:rsidR="00D1345E">
        <w:t xml:space="preserve"> (</w:t>
      </w:r>
      <w:r w:rsidR="00851C48">
        <w:t>aged</w:t>
      </w:r>
      <w:r w:rsidR="00D1345E">
        <w:t xml:space="preserve"> 6</w:t>
      </w:r>
      <w:r w:rsidR="00851C48">
        <w:t>5</w:t>
      </w:r>
      <w:r w:rsidR="00D1345E">
        <w:t xml:space="preserve"> </w:t>
      </w:r>
      <w:r w:rsidR="00851C48">
        <w:t>and older</w:t>
      </w:r>
      <w:r w:rsidR="00D1345E">
        <w:t>)</w:t>
      </w:r>
      <w:r>
        <w:t xml:space="preserve">, </w:t>
      </w:r>
      <w:r w:rsidR="003B593B">
        <w:t>age-</w:t>
      </w:r>
      <w:r w:rsidR="000F73C7">
        <w:t>f</w:t>
      </w:r>
      <w:r w:rsidR="003B593B">
        <w:t xml:space="preserve">riendly infrastructure </w:t>
      </w:r>
      <w:r w:rsidR="000F73C7">
        <w:t xml:space="preserve">investments </w:t>
      </w:r>
      <w:r w:rsidR="005B4CDB">
        <w:t>should help</w:t>
      </w:r>
      <w:r w:rsidR="003B593B">
        <w:t xml:space="preserve">. </w:t>
      </w:r>
      <w:r>
        <w:t xml:space="preserve">This includes </w:t>
      </w:r>
      <w:r w:rsidRPr="00935463">
        <w:t>ensuring sidewalks and walking paths</w:t>
      </w:r>
      <w:r w:rsidR="00851C48" w:rsidRPr="00935463">
        <w:t xml:space="preserve"> are well-maintained</w:t>
      </w:r>
      <w:r w:rsidRPr="00935463">
        <w:t>, free of tripping hazards</w:t>
      </w:r>
      <w:r w:rsidR="00D1345E" w:rsidRPr="00935463">
        <w:t>,</w:t>
      </w:r>
      <w:r w:rsidRPr="00935463">
        <w:t xml:space="preserve"> and equipped with </w:t>
      </w:r>
      <w:r w:rsidR="00851C48" w:rsidRPr="00935463">
        <w:t xml:space="preserve">sufficient </w:t>
      </w:r>
      <w:r w:rsidRPr="00935463">
        <w:t xml:space="preserve">lighting and benches for resting. </w:t>
      </w:r>
      <w:r w:rsidR="003B593B">
        <w:rPr>
          <w:rFonts w:eastAsiaTheme="minorEastAsia"/>
          <w:lang w:eastAsia="ko-KR"/>
        </w:rPr>
        <w:t>S</w:t>
      </w:r>
      <w:r w:rsidRPr="00935463">
        <w:rPr>
          <w:rFonts w:eastAsiaTheme="minorEastAsia"/>
          <w:lang w:eastAsia="ko-KR"/>
        </w:rPr>
        <w:t xml:space="preserve">eniors feel more comfortable and safe in parks that have places to sit, </w:t>
      </w:r>
      <w:r w:rsidRPr="00935463">
        <w:rPr>
          <w:rFonts w:eastAsiaTheme="minorEastAsia" w:hint="eastAsia"/>
          <w:lang w:eastAsia="ko-KR"/>
        </w:rPr>
        <w:t>are flat</w:t>
      </w:r>
      <w:r w:rsidRPr="00935463">
        <w:rPr>
          <w:rFonts w:eastAsiaTheme="minorEastAsia"/>
          <w:lang w:eastAsia="ko-KR"/>
        </w:rPr>
        <w:t xml:space="preserve">, and are well-maintained </w:t>
      </w:r>
      <w:r w:rsidRPr="00935463">
        <w:rPr>
          <w:rFonts w:eastAsiaTheme="minorEastAsia"/>
          <w:lang w:eastAsia="ko-KR"/>
        </w:rPr>
        <w:fldChar w:fldCharType="begin"/>
      </w:r>
      <w:r w:rsidR="003123FA" w:rsidRPr="00935463">
        <w:rPr>
          <w:rFonts w:eastAsiaTheme="minorEastAsia"/>
          <w:lang w:eastAsia="ko-KR"/>
        </w:rPr>
        <w:instrText xml:space="preserve"> ADDIN ZOTERO_ITEM CSL_CITATION {"citationID":"lMiDywWa","properties":{"formattedCitation":"(Veitch et al., 2020)","plainCitation":"(Veitch et al., 2020)","dontUpdate":true,"noteIndex":0},"citationItems":[{"id":1114,"uris":["http://zotero.org/users/10132210/items/68XZ2CKK"],"itemData":{"id":1114,"type":"article-journal","abstract":"The proportion of older adults in the population is increasing and ageing is associated with poorer physical, mental and social health. Hence, there is increasing need for community facilities that are appealing and suitable to older adults and promote good health and well-being. Visiting parks has been shown to facilitate a multitude of physical, psychological, and social health beneﬁts; however, the frequency of park visitation by older adults is low. A better understanding of the needs and preferences of park features among older adults will help park designers to create parks that encourage their visitation. The aim of this qualitative walk-along study was to explore park features that inﬂuence park visitation, park-based physical activity and social interaction among older adults (65+ years). Participants (n = 30, mean age = 74.9 years [sd 5.4)], 50 % female) were interviewed by a researcher while walking in one of eight diverse parks located in varying socio-economic status areas of metropolitan Melbourne, Australia. All interviews were transcribed verbatim and analysed using NVivo 12 software. Participants primarily reported using parks for walking, sitting/relaxing, enjoying nature and socialising with others and walking was the preferred park-based activity. Park features highly valued for visitation included: a well-maintained, peaceful and attractive environment with established trees, gardens and birdlife; seating; pleasant paths; toilets; cafés; water features; shade/shelter; facilities for grandchildren; and the presence of other people. Features most valued for physical activity included walking paths, organised activities, and ﬁtness equipment. Features most valued for social interaction included picnic/barbecue facilities, organised events, a café and aesthetics. This evidence is important for policy and decision makers, urban planning, landscape architects, and local, state and national government organisations to ensure our parks are designed to support older adults to lead healthy and active lives.","container-title":"Urban Forestry &amp; Urban Greening","DOI":"10.1016/j.ufug.2020.126768","ISSN":"16188667","journalAbbreviation":"Urban Forestry &amp; Urban Greening","language":"en","page":"126768","source":"DOI.org (Crossref)","title":"Designing parks for older adults: A qualitative study using walk-along interviews","title-short":"Designing parks for older adults","volume":"54","author":[{"family":"Veitch","given":"Jenny"},{"family":"Flowers","given":"Elliott"},{"family":"Ball","given":"Kylie"},{"family":"Deforche","given":"Benedicte"},{"family":"Timperio","given":"Anna"}],"issued":{"date-parts":[["2020",10]]}}}],"schema":"https://github.com/citation-style-language/schema/raw/master/csl-citation.json"} </w:instrText>
      </w:r>
      <w:r w:rsidRPr="00935463">
        <w:rPr>
          <w:rFonts w:eastAsiaTheme="minorEastAsia"/>
          <w:lang w:eastAsia="ko-KR"/>
        </w:rPr>
        <w:fldChar w:fldCharType="separate"/>
      </w:r>
      <w:r w:rsidRPr="00935463">
        <w:t>(</w:t>
      </w:r>
      <w:r w:rsidR="00D1345E" w:rsidRPr="00935463">
        <w:t xml:space="preserve">see </w:t>
      </w:r>
      <w:r w:rsidRPr="00935463">
        <w:t>Veitch et al., 2020)</w:t>
      </w:r>
      <w:r w:rsidRPr="00935463">
        <w:rPr>
          <w:rFonts w:eastAsiaTheme="minorEastAsia"/>
          <w:lang w:eastAsia="ko-KR"/>
        </w:rPr>
        <w:fldChar w:fldCharType="end"/>
      </w:r>
      <w:r w:rsidRPr="00935463">
        <w:rPr>
          <w:rFonts w:eastAsiaTheme="minorEastAsia"/>
          <w:lang w:eastAsia="ko-KR"/>
        </w:rPr>
        <w:t>.</w:t>
      </w:r>
      <w:r w:rsidRPr="00935463">
        <w:rPr>
          <w:rFonts w:eastAsiaTheme="minorEastAsia" w:hint="eastAsia"/>
          <w:lang w:eastAsia="ko-KR"/>
        </w:rPr>
        <w:t xml:space="preserve"> </w:t>
      </w:r>
      <w:r w:rsidR="00851C48" w:rsidRPr="00935463">
        <w:t xml:space="preserve">Collaborating </w:t>
      </w:r>
      <w:r w:rsidRPr="00935463">
        <w:t xml:space="preserve">with local transportation agencies to </w:t>
      </w:r>
      <w:r w:rsidR="003B593B">
        <w:t>implement road “diet” programs in areas nea</w:t>
      </w:r>
      <w:r w:rsidR="00371BC4">
        <w:t>r</w:t>
      </w:r>
      <w:r w:rsidR="003B593B">
        <w:t xml:space="preserve"> senior centers, and </w:t>
      </w:r>
      <w:r w:rsidRPr="00935463">
        <w:t xml:space="preserve">providing ample time for seniors to cross streets safely, </w:t>
      </w:r>
      <w:r w:rsidR="003B593B">
        <w:t>are a</w:t>
      </w:r>
      <w:r w:rsidR="006A5674">
        <w:t xml:space="preserve">dditional </w:t>
      </w:r>
      <w:r w:rsidR="003B593B">
        <w:t>avenues</w:t>
      </w:r>
      <w:r w:rsidR="006A5674">
        <w:t xml:space="preserve"> to promote walking</w:t>
      </w:r>
      <w:r w:rsidRPr="00935463">
        <w:t xml:space="preserve">. Furthermore, </w:t>
      </w:r>
      <w:r w:rsidR="006A5674">
        <w:t xml:space="preserve">community efforts can be directed toward the design of </w:t>
      </w:r>
      <w:r w:rsidRPr="00935463">
        <w:t>walking</w:t>
      </w:r>
      <w:r>
        <w:t xml:space="preserve"> trails </w:t>
      </w:r>
      <w:r w:rsidR="006A5674">
        <w:t xml:space="preserve">and </w:t>
      </w:r>
      <w:r>
        <w:t>loops in parks</w:t>
      </w:r>
      <w:r w:rsidR="006A5674">
        <w:t>/</w:t>
      </w:r>
      <w:r>
        <w:t xml:space="preserve">community spaces </w:t>
      </w:r>
      <w:r w:rsidR="006A5674">
        <w:t xml:space="preserve">with </w:t>
      </w:r>
      <w:r>
        <w:t xml:space="preserve">gentle inclines, stable surfaces, and handrails, </w:t>
      </w:r>
      <w:r w:rsidR="006A5674">
        <w:t xml:space="preserve">all of which </w:t>
      </w:r>
      <w:r>
        <w:t>can provide a secure</w:t>
      </w:r>
      <w:r w:rsidR="00851C48">
        <w:t xml:space="preserve">, </w:t>
      </w:r>
      <w:r>
        <w:t>comfortable</w:t>
      </w:r>
      <w:r w:rsidR="00851C48">
        <w:t>, and inviting</w:t>
      </w:r>
      <w:r>
        <w:t xml:space="preserve"> walking</w:t>
      </w:r>
      <w:r w:rsidR="00851C48">
        <w:t xml:space="preserve"> environment</w:t>
      </w:r>
      <w:r w:rsidR="006A5674">
        <w:t xml:space="preserve"> for older adults</w:t>
      </w:r>
      <w:r>
        <w:t>.</w:t>
      </w:r>
      <w:r w:rsidRPr="009434F1">
        <w:rPr>
          <w:rFonts w:eastAsiaTheme="minorEastAsia"/>
          <w:lang w:eastAsia="ko-KR"/>
        </w:rPr>
        <w:t xml:space="preserve"> </w:t>
      </w:r>
    </w:p>
    <w:p w14:paraId="1F3BD531" w14:textId="5D4F1380" w:rsidR="00D452EC" w:rsidRPr="00D6350B" w:rsidRDefault="00851C48" w:rsidP="00662E40">
      <w:pPr>
        <w:ind w:firstLine="720"/>
        <w:jc w:val="both"/>
        <w:rPr>
          <w:rFonts w:eastAsia="Times New Roman"/>
          <w:color w:val="333333"/>
          <w:sz w:val="21"/>
          <w:szCs w:val="21"/>
        </w:rPr>
      </w:pPr>
      <w:r w:rsidRPr="00851C48">
        <w:rPr>
          <w:rFonts w:eastAsiaTheme="minorEastAsia"/>
          <w:lang w:eastAsia="ko-KR"/>
        </w:rPr>
        <w:t xml:space="preserve">The presence of children in households </w:t>
      </w:r>
      <w:r w:rsidR="005B4CDB">
        <w:rPr>
          <w:rFonts w:eastAsiaTheme="minorEastAsia"/>
          <w:lang w:eastAsia="ko-KR"/>
        </w:rPr>
        <w:t xml:space="preserve">(regardless of the number of adults) </w:t>
      </w:r>
      <w:r w:rsidRPr="00851C48">
        <w:rPr>
          <w:rFonts w:eastAsiaTheme="minorEastAsia"/>
          <w:lang w:eastAsia="ko-KR"/>
        </w:rPr>
        <w:t xml:space="preserve">has </w:t>
      </w:r>
      <w:r w:rsidR="003B593B">
        <w:rPr>
          <w:rFonts w:eastAsiaTheme="minorEastAsia"/>
          <w:lang w:eastAsia="ko-KR"/>
        </w:rPr>
        <w:t>a direct negative impact on walking intensity (both in terms of frequency and duration)</w:t>
      </w:r>
      <w:r w:rsidR="006F6F47">
        <w:rPr>
          <w:rFonts w:eastAsiaTheme="minorEastAsia"/>
          <w:lang w:eastAsia="ko-KR"/>
        </w:rPr>
        <w:t>,</w:t>
      </w:r>
      <w:r w:rsidR="003B593B">
        <w:rPr>
          <w:rFonts w:eastAsiaTheme="minorEastAsia"/>
          <w:lang w:eastAsia="ko-KR"/>
        </w:rPr>
        <w:t xml:space="preserve"> presumably due to </w:t>
      </w:r>
      <w:r w:rsidRPr="00851C48">
        <w:rPr>
          <w:rFonts w:eastAsiaTheme="minorEastAsia"/>
          <w:lang w:eastAsia="ko-KR"/>
        </w:rPr>
        <w:t>childcare</w:t>
      </w:r>
      <w:r w:rsidR="003B593B">
        <w:rPr>
          <w:rFonts w:eastAsiaTheme="minorEastAsia"/>
          <w:lang w:eastAsia="ko-KR"/>
        </w:rPr>
        <w:t>-related</w:t>
      </w:r>
      <w:r w:rsidRPr="00851C48">
        <w:rPr>
          <w:rFonts w:eastAsiaTheme="minorEastAsia"/>
          <w:lang w:eastAsia="ko-KR"/>
        </w:rPr>
        <w:t xml:space="preserve"> time constraints, </w:t>
      </w:r>
      <w:r w:rsidR="003B593B">
        <w:rPr>
          <w:rFonts w:eastAsiaTheme="minorEastAsia"/>
          <w:lang w:eastAsia="ko-KR"/>
        </w:rPr>
        <w:t xml:space="preserve">but also has a mediating positive impact </w:t>
      </w:r>
      <w:r w:rsidRPr="00851C48">
        <w:rPr>
          <w:rFonts w:eastAsiaTheme="minorEastAsia"/>
          <w:lang w:eastAsia="ko-KR"/>
        </w:rPr>
        <w:t xml:space="preserve">through </w:t>
      </w:r>
      <w:r w:rsidR="003B593B">
        <w:rPr>
          <w:rFonts w:eastAsiaTheme="minorEastAsia"/>
          <w:lang w:eastAsia="ko-KR"/>
        </w:rPr>
        <w:t xml:space="preserve">increased group walking. </w:t>
      </w:r>
      <w:r w:rsidRPr="00851C48">
        <w:rPr>
          <w:rFonts w:eastAsiaTheme="minorEastAsia"/>
          <w:lang w:eastAsia="ko-KR"/>
        </w:rPr>
        <w:t xml:space="preserve">To leverage </w:t>
      </w:r>
      <w:r w:rsidR="003B593B">
        <w:rPr>
          <w:rFonts w:eastAsiaTheme="minorEastAsia"/>
          <w:lang w:eastAsia="ko-KR"/>
        </w:rPr>
        <w:t xml:space="preserve">the positive inclination for group walking in such households, </w:t>
      </w:r>
      <w:r w:rsidRPr="00851C48">
        <w:rPr>
          <w:rFonts w:eastAsiaTheme="minorEastAsia"/>
          <w:lang w:eastAsia="ko-KR"/>
        </w:rPr>
        <w:t xml:space="preserve">neighborhood walkability, particularly around schools, can </w:t>
      </w:r>
      <w:r w:rsidR="003B593B">
        <w:rPr>
          <w:rFonts w:eastAsiaTheme="minorEastAsia"/>
          <w:lang w:eastAsia="ko-KR"/>
        </w:rPr>
        <w:t xml:space="preserve">be improved. Such interventions can take the form of </w:t>
      </w:r>
      <w:r w:rsidR="00D452EC" w:rsidRPr="00935463">
        <w:rPr>
          <w:rFonts w:eastAsiaTheme="minorEastAsia" w:hint="eastAsia"/>
          <w:lang w:eastAsia="ko-KR"/>
        </w:rPr>
        <w:t xml:space="preserve">traffic calming </w:t>
      </w:r>
      <w:r w:rsidR="00D452EC" w:rsidRPr="00935463">
        <w:rPr>
          <w:rFonts w:eastAsiaTheme="minorEastAsia"/>
          <w:lang w:eastAsia="ko-KR"/>
        </w:rPr>
        <w:t xml:space="preserve">measures </w:t>
      </w:r>
      <w:r w:rsidR="00D452EC" w:rsidRPr="00935463">
        <w:rPr>
          <w:rFonts w:eastAsiaTheme="minorEastAsia" w:hint="eastAsia"/>
          <w:lang w:eastAsia="ko-KR"/>
        </w:rPr>
        <w:t>around school</w:t>
      </w:r>
      <w:r w:rsidR="00D452EC">
        <w:rPr>
          <w:rFonts w:eastAsiaTheme="minorEastAsia"/>
          <w:lang w:eastAsia="ko-KR"/>
        </w:rPr>
        <w:t xml:space="preserve"> zones</w:t>
      </w:r>
      <w:r w:rsidR="00D452EC">
        <w:rPr>
          <w:rFonts w:eastAsiaTheme="minorEastAsia" w:hint="eastAsia"/>
          <w:lang w:eastAsia="ko-KR"/>
        </w:rPr>
        <w:t xml:space="preserve"> to </w:t>
      </w:r>
      <w:r w:rsidR="00D452EC">
        <w:rPr>
          <w:rFonts w:eastAsiaTheme="minorEastAsia"/>
          <w:lang w:eastAsia="ko-KR"/>
        </w:rPr>
        <w:t xml:space="preserve">discourage through traffic, </w:t>
      </w:r>
      <w:r>
        <w:rPr>
          <w:rFonts w:eastAsiaTheme="minorEastAsia"/>
          <w:lang w:eastAsia="ko-KR"/>
        </w:rPr>
        <w:t xml:space="preserve">installing </w:t>
      </w:r>
      <w:r w:rsidR="00D452EC">
        <w:rPr>
          <w:rFonts w:eastAsiaTheme="minorEastAsia"/>
          <w:lang w:eastAsia="ko-KR"/>
        </w:rPr>
        <w:t>high-visibility crosswalks and lighting</w:t>
      </w:r>
      <w:r w:rsidR="00A95D3D">
        <w:rPr>
          <w:rFonts w:eastAsiaTheme="minorEastAsia"/>
          <w:lang w:eastAsia="ko-KR"/>
        </w:rPr>
        <w:t xml:space="preserve">, and the strict enforcement of speeding laws </w:t>
      </w:r>
      <w:r w:rsidR="00252572" w:rsidRPr="00FE2ECE">
        <w:rPr>
          <w:rFonts w:eastAsiaTheme="minorEastAsia" w:hint="eastAsia"/>
          <w:lang w:eastAsia="ko-KR"/>
        </w:rPr>
        <w:t>(</w:t>
      </w:r>
      <w:r w:rsidR="00252572" w:rsidRPr="00FE2ECE">
        <w:rPr>
          <w:rFonts w:eastAsiaTheme="minorEastAsia"/>
          <w:lang w:eastAsia="ko-KR"/>
        </w:rPr>
        <w:t xml:space="preserve">see </w:t>
      </w:r>
      <w:r w:rsidR="00252572" w:rsidRPr="00FE2ECE">
        <w:rPr>
          <w:rFonts w:eastAsiaTheme="minorEastAsia"/>
          <w:lang w:eastAsia="ko-KR"/>
        </w:rPr>
        <w:fldChar w:fldCharType="begin"/>
      </w:r>
      <w:r w:rsidR="003828FC">
        <w:rPr>
          <w:rFonts w:eastAsiaTheme="minorEastAsia"/>
          <w:lang w:eastAsia="ko-KR"/>
        </w:rPr>
        <w:instrText xml:space="preserve"> ADDIN ZOTERO_ITEM CSL_CITATION {"citationID":"OLuO82HO","properties":{"formattedCitation":"(Rothman et al., 2022)","plainCitation":"(Rothman et al., 2022)","dontUpdate":true,"noteIndex":0},"citationItems":[{"id":1626,"uris":["http://zotero.org/users/10132210/items/TQAALXN8"],"itemData":{"id":1626,"type":"article-journal","abstract":"Background  School safety zones were created in 2017 under the City of Toronto’s Vision Zero Road Safety Plan. This pilot study examined the effect of built environment interventions on driver speeds, active school transportation (AST) and dangerous driving.\nMethods  Interventions were implemented at 34 schools and 45 matched controls (2017–2019). Drivers travelling over the speed limit of &gt;30 km/hour and 85th percentile speeds were measured using pneumatic speed tubes at school frontages. Observers examined AST and dangerous driving at school arrival times. Repeated measures beta and multiple regression analyses were used to study the intervention effects.\nResults  Most schools had posted speed limits of 40 km/hour (58%) or </w:instrText>
      </w:r>
      <w:r w:rsidR="003828FC">
        <w:rPr>
          <w:rFonts w:eastAsiaTheme="minorEastAsia" w:hint="eastAsia"/>
          <w:lang w:eastAsia="ko-KR"/>
        </w:rPr>
        <w:instrText>≥</w:instrText>
      </w:r>
      <w:r w:rsidR="003828FC">
        <w:rPr>
          <w:rFonts w:eastAsiaTheme="minorEastAsia"/>
          <w:lang w:eastAsia="ko-KR"/>
        </w:rPr>
        <w:instrText xml:space="preserve">50 km/hour (23%). A decrease in drivers travelling over the speed limit was observed at intervention schools post-­intervention (from 44% to 40%; OR 0.79, 95% CI 0.66 to 0.96). Seventy-o­ ne per cent of drivers travelled &gt;30 km/hour and the 85th percentile speed was 47 km/hour at intervention schools, with no change in either postintervention. There were no changes in speed metrics in the controls. AST increased by 5% (OR 1.22, 95% CI 0.97 to 1.54) at intervention schools. Reductions in dangerous driving were observed at all schools.\nConclusions  Posted speed limits were &gt;30 km/hour at most schools and high proportions of drivers were travelling above the speed limits. There were reductions in drivers exceeding the speed limit and in dangerous driving, and modest increased AST post intervention. Bolder interventions to slow traffic are required to effectively reduce speeding around schools, which may increase safe AST.","container-title":"Injury Prevention","DOI":"10.1136/injuryprev-2021-044299","ISSN":"1353-8047, 1475-5785","issue":"3","journalAbbreviation":"Inj Prev","language":"en","page":"243-248","source":"DOI.org (Crossref)","title":"Pilot study to evaluate school safety zone built environment interventions","volume":"28","author":[{"family":"Rothman","given":"Linda"},{"family":"Ling","given":"Rebecca"},{"family":"Hagel","given":"Brent E"},{"family":"Macarthur","given":"Colin"},{"family":"Macpherson","given":"Alison K"},{"family":"Buliung","given":"Ron"},{"family":"Fuselli","given":"Pamela"},{"family":"Howard","given":"Andrew William"}],"issued":{"date-parts":[["2022",6]]}}}],"schema":"https://github.com/citation-style-language/schema/raw/master/csl-citation.json"} </w:instrText>
      </w:r>
      <w:r w:rsidR="00252572" w:rsidRPr="00FE2ECE">
        <w:rPr>
          <w:rFonts w:eastAsiaTheme="minorEastAsia"/>
          <w:lang w:eastAsia="ko-KR"/>
        </w:rPr>
        <w:fldChar w:fldCharType="separate"/>
      </w:r>
      <w:r w:rsidR="00FE2ECE" w:rsidRPr="00FE2ECE">
        <w:rPr>
          <w:rFonts w:cs="Times"/>
        </w:rPr>
        <w:t>Rothman et al., 2022</w:t>
      </w:r>
      <w:r w:rsidR="00252572" w:rsidRPr="00FE2ECE">
        <w:rPr>
          <w:rFonts w:eastAsiaTheme="minorEastAsia"/>
          <w:lang w:eastAsia="ko-KR"/>
        </w:rPr>
        <w:fldChar w:fldCharType="end"/>
      </w:r>
      <w:r w:rsidR="00FE2ECE" w:rsidRPr="00FE2ECE">
        <w:rPr>
          <w:rFonts w:eastAsiaTheme="minorEastAsia" w:hint="eastAsia"/>
          <w:lang w:eastAsia="ko-KR"/>
        </w:rPr>
        <w:t>)</w:t>
      </w:r>
      <w:r w:rsidR="00252572" w:rsidRPr="00FE2ECE">
        <w:rPr>
          <w:rFonts w:eastAsiaTheme="minorEastAsia"/>
          <w:lang w:eastAsia="ko-KR"/>
        </w:rPr>
        <w:t xml:space="preserve">. </w:t>
      </w:r>
      <w:r w:rsidRPr="00FE2ECE">
        <w:rPr>
          <w:rFonts w:eastAsiaTheme="minorEastAsia"/>
          <w:lang w:eastAsia="ko-KR"/>
        </w:rPr>
        <w:t xml:space="preserve">These </w:t>
      </w:r>
      <w:r w:rsidR="00D452EC" w:rsidRPr="00FE2ECE">
        <w:rPr>
          <w:rFonts w:eastAsiaTheme="minorEastAsia"/>
          <w:lang w:eastAsia="ko-KR"/>
        </w:rPr>
        <w:t xml:space="preserve">measures can </w:t>
      </w:r>
      <w:r w:rsidR="00A95D3D" w:rsidRPr="00FE2ECE">
        <w:rPr>
          <w:rFonts w:eastAsiaTheme="minorEastAsia"/>
          <w:lang w:eastAsia="ko-KR"/>
        </w:rPr>
        <w:t>lead to increased walking</w:t>
      </w:r>
      <w:r w:rsidR="00A95D3D">
        <w:rPr>
          <w:rFonts w:eastAsiaTheme="minorEastAsia"/>
          <w:lang w:eastAsia="ko-KR"/>
        </w:rPr>
        <w:t xml:space="preserve"> of </w:t>
      </w:r>
      <w:r w:rsidR="00D452EC" w:rsidRPr="009D5A68">
        <w:rPr>
          <w:rFonts w:eastAsiaTheme="minorEastAsia"/>
          <w:lang w:eastAsia="ko-KR"/>
        </w:rPr>
        <w:t>caregivers to</w:t>
      </w:r>
      <w:r w:rsidR="00A95D3D">
        <w:rPr>
          <w:rFonts w:eastAsiaTheme="minorEastAsia"/>
          <w:lang w:eastAsia="ko-KR"/>
        </w:rPr>
        <w:t xml:space="preserve"> </w:t>
      </w:r>
      <w:r w:rsidR="00D452EC" w:rsidRPr="009D5A68">
        <w:rPr>
          <w:rFonts w:eastAsiaTheme="minorEastAsia"/>
          <w:lang w:eastAsia="ko-KR"/>
        </w:rPr>
        <w:t>school with their children</w:t>
      </w:r>
      <w:r w:rsidR="00D452EC">
        <w:rPr>
          <w:rFonts w:eastAsiaTheme="minorEastAsia"/>
          <w:lang w:eastAsia="ko-KR"/>
        </w:rPr>
        <w:t>/grandchildren</w:t>
      </w:r>
      <w:r w:rsidR="00D452EC" w:rsidRPr="00B46F6B">
        <w:rPr>
          <w:rFonts w:eastAsiaTheme="minorEastAsia"/>
          <w:lang w:eastAsia="ko-KR"/>
        </w:rPr>
        <w:t xml:space="preserve">, while </w:t>
      </w:r>
      <w:r w:rsidR="00A95D3D">
        <w:rPr>
          <w:rFonts w:eastAsiaTheme="minorEastAsia"/>
          <w:lang w:eastAsia="ko-KR"/>
        </w:rPr>
        <w:t xml:space="preserve">also bringing the </w:t>
      </w:r>
      <w:r>
        <w:rPr>
          <w:rFonts w:eastAsiaTheme="minorEastAsia"/>
          <w:lang w:eastAsia="ko-KR"/>
        </w:rPr>
        <w:t>benefit</w:t>
      </w:r>
      <w:r w:rsidR="00A95D3D">
        <w:rPr>
          <w:rFonts w:eastAsiaTheme="minorEastAsia"/>
          <w:lang w:eastAsia="ko-KR"/>
        </w:rPr>
        <w:t>s</w:t>
      </w:r>
      <w:r w:rsidR="00252572">
        <w:rPr>
          <w:rFonts w:eastAsiaTheme="minorEastAsia"/>
          <w:lang w:eastAsia="ko-KR"/>
        </w:rPr>
        <w:t xml:space="preserve"> </w:t>
      </w:r>
      <w:r w:rsidR="00A95D3D">
        <w:rPr>
          <w:rFonts w:eastAsiaTheme="minorEastAsia"/>
          <w:lang w:eastAsia="ko-KR"/>
        </w:rPr>
        <w:t xml:space="preserve">of </w:t>
      </w:r>
      <w:r w:rsidR="00D452EC" w:rsidRPr="00B46F6B">
        <w:rPr>
          <w:rFonts w:eastAsiaTheme="minorEastAsia"/>
          <w:lang w:eastAsia="ko-KR"/>
        </w:rPr>
        <w:t>multi-generational companionship.</w:t>
      </w:r>
      <w:r w:rsidR="00252572">
        <w:rPr>
          <w:rFonts w:eastAsiaTheme="minorEastAsia"/>
          <w:lang w:eastAsia="ko-KR"/>
        </w:rPr>
        <w:t xml:space="preserve"> In this context, some studies suggest that pedestrian-related crashes in and around schools are because </w:t>
      </w:r>
      <w:r w:rsidR="008B7629" w:rsidRPr="008B7629">
        <w:rPr>
          <w:rFonts w:eastAsiaTheme="minorEastAsia"/>
          <w:lang w:eastAsia="ko-KR"/>
        </w:rPr>
        <w:t>parents' inadequate education of their children on safe</w:t>
      </w:r>
      <w:r w:rsidR="008B7629">
        <w:rPr>
          <w:rFonts w:eastAsiaTheme="minorEastAsia" w:hint="eastAsia"/>
          <w:lang w:eastAsia="ko-KR"/>
        </w:rPr>
        <w:t xml:space="preserve"> walking</w:t>
      </w:r>
      <w:r w:rsidR="00040710">
        <w:rPr>
          <w:rFonts w:eastAsiaTheme="minorEastAsia" w:hint="eastAsia"/>
          <w:lang w:eastAsia="ko-KR"/>
        </w:rPr>
        <w:t xml:space="preserve"> </w:t>
      </w:r>
      <w:r w:rsidR="009A20DD">
        <w:rPr>
          <w:rFonts w:eastAsiaTheme="minorEastAsia"/>
          <w:lang w:eastAsia="ko-KR"/>
        </w:rPr>
        <w:fldChar w:fldCharType="begin"/>
      </w:r>
      <w:r w:rsidR="000135F9">
        <w:rPr>
          <w:rFonts w:eastAsiaTheme="minorEastAsia"/>
          <w:lang w:eastAsia="ko-KR"/>
        </w:rPr>
        <w:instrText xml:space="preserve"> ADDIN ZOTERO_ITEM CSL_CITATION {"citationID":"EOqaPKU8","properties":{"formattedCitation":"(Cloutier et al., 2021)","plainCitation":"(Cloutier et al., 2021)","dontUpdate":true,"noteIndex":0},"citationItems":[{"id":1631,"uris":["http://zotero.org/users/10132210/items/P3S85ZQ3"],"itemData":{"id":1631,"type":"article-journal","abstract":"Methods  Articles on risk factors were identified through a search of English language publications listed in Medline, Embase, Transport, SafetyLit, Web of Science, CINHAL, Scopus and PsycINFO within the last 30 years (~1989 onwards).\nResults  This state-­of-­the-­art review uses the road safety Safe System approach as a new lens to examine three risk factor domains affecting child pedestrian safety (built environment, drivers and vehicles) and four cross-­cutting critical issues (reliable collision and exposure data, evaluation of interventions, evidence-­based policy and intersectoral collaboration).\nConclusions  Research conducted over the past 30 years has reported extensively on child PMVC risk factors. The challenge facing us now is how to move these findings into action and intervene to reduce the child PMVC injury and fatality rates worldwide.","container-title":"Injury Prevention","DOI":"10.1136/injuryprev-2020-043829","ISSN":"1353-8047, 1475-5785","issue":"1","journalAbbreviation":"Inj Prev","language":"en","page":"77-84","source":"DOI.org (Crossref)","title":"State-of-the-art review: preventing child and youth pedestrian motor vehicle collisions: critical issues and future directions","title-short":"State-of-the-art review","volume":"27","author":[{"family":"Cloutier","given":"Marie-Soleil"},{"family":"Beaulieu","given":"Emilie"},{"family":"Fridman","given":"Liraz"},{"family":"Macpherson","given":"Alison K"},{"family":"Hagel","given":"Brent E"},{"family":"Howard","given":"Andrew William"},{"family":"Churchill","given":"Tony"},{"family":"Fuselli","given":"Pamela"},{"family":"Macarthur","given":"Colin"},{"family":"Rothman","given":"Linda"}],"issued":{"date-parts":[["2021",2]]}}}],"schema":"https://github.com/citation-style-language/schema/raw/master/csl-citation.json"} </w:instrText>
      </w:r>
      <w:r w:rsidR="009A20DD">
        <w:rPr>
          <w:rFonts w:eastAsiaTheme="minorEastAsia"/>
          <w:lang w:eastAsia="ko-KR"/>
        </w:rPr>
        <w:fldChar w:fldCharType="separate"/>
      </w:r>
      <w:r w:rsidR="009A20DD" w:rsidRPr="009A20DD">
        <w:rPr>
          <w:rFonts w:cs="Times"/>
        </w:rPr>
        <w:t>(</w:t>
      </w:r>
      <w:r w:rsidR="00092687">
        <w:rPr>
          <w:rFonts w:eastAsiaTheme="minorEastAsia" w:cs="Times" w:hint="eastAsia"/>
          <w:lang w:eastAsia="ko-KR"/>
        </w:rPr>
        <w:t xml:space="preserve">see </w:t>
      </w:r>
      <w:r w:rsidR="009A20DD" w:rsidRPr="009A20DD">
        <w:rPr>
          <w:rFonts w:cs="Times"/>
        </w:rPr>
        <w:t>Cloutier et al., 2021)</w:t>
      </w:r>
      <w:r w:rsidR="009A20DD">
        <w:rPr>
          <w:rFonts w:eastAsiaTheme="minorEastAsia"/>
          <w:lang w:eastAsia="ko-KR"/>
        </w:rPr>
        <w:fldChar w:fldCharType="end"/>
      </w:r>
      <w:r w:rsidR="00AF54F4">
        <w:rPr>
          <w:rFonts w:eastAsiaTheme="minorEastAsia" w:hint="eastAsia"/>
          <w:lang w:eastAsia="ko-KR"/>
        </w:rPr>
        <w:t xml:space="preserve">, </w:t>
      </w:r>
      <w:r w:rsidR="00B67DB6" w:rsidRPr="00B67DB6">
        <w:rPr>
          <w:rFonts w:eastAsiaTheme="minorEastAsia"/>
          <w:lang w:eastAsia="ko-KR"/>
        </w:rPr>
        <w:t xml:space="preserve">as well as their </w:t>
      </w:r>
      <w:r w:rsidR="002224B8">
        <w:rPr>
          <w:rFonts w:eastAsiaTheme="minorEastAsia" w:hint="eastAsia"/>
          <w:lang w:eastAsia="ko-KR"/>
        </w:rPr>
        <w:t xml:space="preserve">parking </w:t>
      </w:r>
      <w:r w:rsidR="00C222A5">
        <w:rPr>
          <w:rFonts w:eastAsiaTheme="minorEastAsia" w:hint="eastAsia"/>
          <w:lang w:eastAsia="ko-KR"/>
        </w:rPr>
        <w:t>habits</w:t>
      </w:r>
      <w:r w:rsidR="00B67DB6" w:rsidRPr="00B67DB6">
        <w:rPr>
          <w:rFonts w:eastAsiaTheme="minorEastAsia"/>
          <w:lang w:eastAsia="ko-KR"/>
        </w:rPr>
        <w:t xml:space="preserve"> </w:t>
      </w:r>
      <w:r w:rsidR="002224B8" w:rsidRPr="00B67DB6">
        <w:rPr>
          <w:rFonts w:eastAsiaTheme="minorEastAsia"/>
          <w:lang w:eastAsia="ko-KR"/>
        </w:rPr>
        <w:t xml:space="preserve">during pick-up and drop-off </w:t>
      </w:r>
      <w:r w:rsidR="002224B8">
        <w:rPr>
          <w:rFonts w:eastAsiaTheme="minorEastAsia" w:hint="eastAsia"/>
          <w:lang w:eastAsia="ko-KR"/>
        </w:rPr>
        <w:t xml:space="preserve">, such as </w:t>
      </w:r>
      <w:r w:rsidR="00B67DB6" w:rsidRPr="00B67DB6">
        <w:rPr>
          <w:rFonts w:eastAsiaTheme="minorEastAsia"/>
          <w:lang w:eastAsia="ko-KR"/>
        </w:rPr>
        <w:t>double-park</w:t>
      </w:r>
      <w:r w:rsidR="004E4711">
        <w:rPr>
          <w:rFonts w:eastAsiaTheme="minorEastAsia" w:hint="eastAsia"/>
          <w:lang w:eastAsia="ko-KR"/>
        </w:rPr>
        <w:t xml:space="preserve"> or</w:t>
      </w:r>
      <w:r w:rsidR="00B67DB6" w:rsidRPr="00B67DB6">
        <w:rPr>
          <w:rFonts w:eastAsiaTheme="minorEastAsia"/>
          <w:lang w:eastAsia="ko-KR"/>
        </w:rPr>
        <w:t xml:space="preserve"> block bus stops, which can result in students being in the street and obstructing </w:t>
      </w:r>
      <w:r w:rsidR="005329A9">
        <w:rPr>
          <w:rFonts w:eastAsiaTheme="minorEastAsia" w:hint="eastAsia"/>
          <w:lang w:eastAsia="ko-KR"/>
        </w:rPr>
        <w:t>sights of drivers</w:t>
      </w:r>
      <w:r w:rsidR="004E4711">
        <w:rPr>
          <w:rFonts w:eastAsiaTheme="minorEastAsia" w:hint="eastAsia"/>
          <w:lang w:eastAsia="ko-KR"/>
        </w:rPr>
        <w:t xml:space="preserve">, and </w:t>
      </w:r>
      <w:r w:rsidR="00BE46D0">
        <w:rPr>
          <w:rFonts w:eastAsiaTheme="minorEastAsia" w:hint="eastAsia"/>
          <w:lang w:eastAsia="ko-KR"/>
        </w:rPr>
        <w:t xml:space="preserve">dropping children at the opposite side of the road from schools that can cause </w:t>
      </w:r>
      <w:r w:rsidR="00434077">
        <w:rPr>
          <w:rFonts w:eastAsiaTheme="minorEastAsia" w:hint="eastAsia"/>
          <w:lang w:eastAsia="ko-KR"/>
        </w:rPr>
        <w:t xml:space="preserve">uncontrolled, dangerous </w:t>
      </w:r>
      <w:r w:rsidR="00434077">
        <w:rPr>
          <w:rFonts w:eastAsiaTheme="minorEastAsia" w:hint="eastAsia"/>
          <w:lang w:eastAsia="ko-KR"/>
        </w:rPr>
        <w:lastRenderedPageBreak/>
        <w:t>crossing</w:t>
      </w:r>
      <w:r w:rsidR="00FE2ECE">
        <w:rPr>
          <w:rFonts w:eastAsiaTheme="minorEastAsia" w:hint="eastAsia"/>
          <w:lang w:eastAsia="ko-KR"/>
        </w:rPr>
        <w:t xml:space="preserve"> </w:t>
      </w:r>
      <w:r w:rsidR="00F9520E">
        <w:rPr>
          <w:rFonts w:eastAsiaTheme="minorEastAsia"/>
          <w:lang w:eastAsia="ko-KR"/>
        </w:rPr>
        <w:fldChar w:fldCharType="begin"/>
      </w:r>
      <w:r w:rsidR="000135F9">
        <w:rPr>
          <w:rFonts w:eastAsiaTheme="minorEastAsia"/>
          <w:lang w:eastAsia="ko-KR"/>
        </w:rPr>
        <w:instrText xml:space="preserve"> ADDIN ZOTERO_ITEM CSL_CITATION {"citationID":"BoNWHwru","properties":{"formattedCitation":"(Abd El-Shafy et al., 2017; Rothman et al., 2017)","plainCitation":"(Abd El-Shafy et al., 2017; Rothman et al., 2017)","noteIndex":0},"citationItems":[{"id":1628,"uris":["http://zotero.org/users/10132210/items/MV39CI3J"],"itemData":{"id":1628,"type":"article-journal","abstract":"BACKGROUND: In 2012, 76,000 pedestrians were struck by motor vehicles. This resulted in 20% of all pediatric mortalities between the ages of 5 and 15. We hypothesize that children are exposed to increased risk as pedestrians to motor vehicle injury when arriving to school and that identification of these hazards would improve targeting of injury prevention efforts.\nMETHODS: Within a county containing 355 public schools, we identified a primary school with 588 students located in an urban setting with concerns for a high-risk traffic environment. Field surveys observed traffic patterns and established an optimal surveillance period 30 minutes before school. Three observation periods, from two discreet and blinded locations, were conducted from January to March 2016. Videos were evaluated by two independent reviewers to identify and score quantifiable hazards. Three controlled observations were conducted on non-school days, followed by three post-intervention observations from October to December 2016. Comparison was made using Student’s t test. Data was analyzed using SAS version 9.4 (SAS Institute Inc., Cary, NC).\nRESULTS: We identified nine safety hazards including double parking (29.3 ± 5.5), dropping off in a bus stop (23.3 ± 7.6), and jaywalking (9.3 ± 3.1). Combining all hazards seen in each observation resulted in an overall hazard average of 83.0 ± 3.6 events/period. Comparing control periods to school observation identified significantly increased hazard events on school days (p &lt; 0.0001). Targeted safety intervention demonstrated a 26% reduction in hazard events (p &lt; 0.0005).\nCONCLUSION:","container-title":"Journal of Trauma and Acute Care Surgery","DOI":"10.1097/TA.0000000000001599","ISSN":"2163-0763, 2163-0755","issue":"5S","journalAbbreviation":"J Trauma Acute Care Surg","language":"en","page":"S227-S232","source":"DOI.org (Crossref)","title":"Reduction of pediatric pedestrian hazardous road conditions in a school drop-off zone using video review","volume":"83","author":[{"family":"Abd El-Shafy","given":"Ibrahim"},{"family":"Savino","given":"Jillian"},{"family":"Christopherson","given":"Nathan A.M."},{"family":"Prince","given":"Jose M."}],"issued":{"date-parts":[["2017",11]]}}},{"id":1633,"uris":["http://zotero.org/users/10132210/items/8BZAGQGC"],"itemData":{"id":1633,"type":"article-journal","abstract":"There has been an increase in vulnerable road user fatalities in the City of Toronto, Canada, necessitating greater emphasis on trafﬁc safety measures. Potentially risky student drop-off behaviours by private vehicle drivers are frequently observed around schools which may contribute to collision risk. A crosssectional observational study conducted in the spring, 2015 at 100 Toronto elementary schools, examined built environment features associated with risky student drop-off and pedestrian behaviours. Observers completed a checklist to identify risky behaviour outcomes. Covariates included the proportion of children observed dropped off by private vehicles, built environment features (within 200 m of schools) and school social disadvantage. Logistic regression was conducted for each outcome. The most common risky behaviours observed were dropping children at the opposite side of the road from schools (79%) and reversing dangerously (64%). The most common child pedestrian behaviours were crossing at uncontrolled midblock locations (85%) and crossing between parked cars (61%). Trafﬁc congestion around schools was associated with double parking (OR 5.96), reversing (OR 4.14) and crossing between parked cars (OR 2.71, children). Less parking blocking crossing controls (OR 0.26) reversing (OR 0.37) uncontrolled midblock crossing (OR 0.26, children) and crossing between parked cars (OR 0.31, children) was observed where there were designated car drop-off areas. Driver texting appeared less common when crossing guards were present (OR 0.18). Greater school disadvantage was associated with uncontrolled pedestrian midblock crossings (OR 14.37, children). Findings will help develop policy and interventions targeting collision risk around schools as part of Toronto’s new Road Safety Plan.","container-title":"Travel Behaviour and Society","DOI":"10.1016/j.tbs.2017.03.001","ISSN":"2214367X","journalAbbreviation":"Travel Behaviour and Society","language":"en","page":"50-57","source":"DOI.org (Crossref)","title":"The school environment and student car drop-off at elementary schools","volume":"9","author":[{"family":"Rothman","given":"Linda"},{"family":"Buliung","given":"Ron"},{"family":"Howard","given":"Andrew"},{"family":"Macarthur","given":"Colin"},{"family":"Macpherson","given":"Alison"}],"issued":{"date-parts":[["2017",10]]}}}],"schema":"https://github.com/citation-style-language/schema/raw/master/csl-citation.json"} </w:instrText>
      </w:r>
      <w:r w:rsidR="00F9520E">
        <w:rPr>
          <w:rFonts w:eastAsiaTheme="minorEastAsia"/>
          <w:lang w:eastAsia="ko-KR"/>
        </w:rPr>
        <w:fldChar w:fldCharType="separate"/>
      </w:r>
      <w:r w:rsidR="000135F9" w:rsidRPr="000135F9">
        <w:rPr>
          <w:rFonts w:cs="Times"/>
        </w:rPr>
        <w:t>(</w:t>
      </w:r>
      <w:r w:rsidR="000135F9">
        <w:rPr>
          <w:rFonts w:eastAsiaTheme="minorEastAsia" w:cs="Times" w:hint="eastAsia"/>
          <w:lang w:eastAsia="ko-KR"/>
        </w:rPr>
        <w:t xml:space="preserve">see </w:t>
      </w:r>
      <w:r w:rsidR="000135F9" w:rsidRPr="000135F9">
        <w:rPr>
          <w:rFonts w:cs="Times"/>
        </w:rPr>
        <w:t>Abd El-Shafy et al., 2017</w:t>
      </w:r>
      <w:r w:rsidR="000135F9">
        <w:rPr>
          <w:rFonts w:eastAsiaTheme="minorEastAsia" w:cs="Times" w:hint="eastAsia"/>
          <w:lang w:eastAsia="ko-KR"/>
        </w:rPr>
        <w:t xml:space="preserve"> and</w:t>
      </w:r>
      <w:r w:rsidR="000135F9" w:rsidRPr="000135F9">
        <w:rPr>
          <w:rFonts w:cs="Times"/>
        </w:rPr>
        <w:t xml:space="preserve"> Rothman et al., 2017</w:t>
      </w:r>
      <w:r w:rsidR="000135F9">
        <w:rPr>
          <w:rFonts w:eastAsiaTheme="minorEastAsia" w:cs="Times" w:hint="eastAsia"/>
          <w:lang w:eastAsia="ko-KR"/>
        </w:rPr>
        <w:t xml:space="preserve"> for observation results</w:t>
      </w:r>
      <w:r w:rsidR="000135F9" w:rsidRPr="000135F9">
        <w:rPr>
          <w:rFonts w:cs="Times"/>
        </w:rPr>
        <w:t>)</w:t>
      </w:r>
      <w:r w:rsidR="00F9520E">
        <w:rPr>
          <w:rFonts w:eastAsiaTheme="minorEastAsia"/>
          <w:lang w:eastAsia="ko-KR"/>
        </w:rPr>
        <w:fldChar w:fldCharType="end"/>
      </w:r>
      <w:r w:rsidR="00AF54F4">
        <w:rPr>
          <w:rFonts w:eastAsiaTheme="minorEastAsia" w:hint="eastAsia"/>
          <w:lang w:eastAsia="ko-KR"/>
        </w:rPr>
        <w:t>.</w:t>
      </w:r>
      <w:r w:rsidR="00252572">
        <w:rPr>
          <w:rFonts w:eastAsiaTheme="minorEastAsia"/>
          <w:lang w:eastAsia="ko-KR"/>
        </w:rPr>
        <w:t xml:space="preserve"> Adult </w:t>
      </w:r>
      <w:r w:rsidR="006A5674">
        <w:rPr>
          <w:rFonts w:eastAsiaTheme="minorEastAsia"/>
          <w:lang w:eastAsia="ko-KR"/>
        </w:rPr>
        <w:t xml:space="preserve">traffic safety </w:t>
      </w:r>
      <w:r w:rsidR="00252572">
        <w:rPr>
          <w:rFonts w:eastAsiaTheme="minorEastAsia"/>
          <w:lang w:eastAsia="ko-KR"/>
        </w:rPr>
        <w:t xml:space="preserve">training classes </w:t>
      </w:r>
      <w:r w:rsidR="00A95D3D">
        <w:rPr>
          <w:rFonts w:eastAsiaTheme="minorEastAsia"/>
          <w:lang w:eastAsia="ko-KR"/>
        </w:rPr>
        <w:t xml:space="preserve">conducted </w:t>
      </w:r>
      <w:r w:rsidR="006A5674">
        <w:rPr>
          <w:rFonts w:eastAsiaTheme="minorEastAsia"/>
          <w:lang w:eastAsia="ko-KR"/>
        </w:rPr>
        <w:t>through</w:t>
      </w:r>
      <w:r w:rsidR="00A95D3D">
        <w:rPr>
          <w:rFonts w:eastAsiaTheme="minorEastAsia"/>
          <w:lang w:eastAsia="ko-KR"/>
        </w:rPr>
        <w:t xml:space="preserve"> </w:t>
      </w:r>
      <w:r w:rsidR="00252572">
        <w:rPr>
          <w:rFonts w:eastAsiaTheme="minorEastAsia"/>
          <w:lang w:eastAsia="ko-KR"/>
        </w:rPr>
        <w:t xml:space="preserve">parent teacher </w:t>
      </w:r>
      <w:r w:rsidR="00A95D3D">
        <w:rPr>
          <w:rFonts w:eastAsiaTheme="minorEastAsia"/>
          <w:lang w:eastAsia="ko-KR"/>
        </w:rPr>
        <w:t xml:space="preserve">associations (PTAs) can be helpful in reducing such unsafe driving and walking practices. </w:t>
      </w:r>
      <w:r w:rsidR="00252572">
        <w:rPr>
          <w:rFonts w:eastAsiaTheme="minorEastAsia"/>
          <w:lang w:eastAsia="ko-KR"/>
        </w:rPr>
        <w:t>Another approach would be to work through schools to promote active living among students in middle and high schools, which</w:t>
      </w:r>
      <w:r w:rsidR="00A95D3D">
        <w:rPr>
          <w:rFonts w:eastAsiaTheme="minorEastAsia"/>
          <w:lang w:eastAsia="ko-KR"/>
        </w:rPr>
        <w:t xml:space="preserve"> </w:t>
      </w:r>
      <w:r w:rsidR="00252572">
        <w:rPr>
          <w:rFonts w:eastAsiaTheme="minorEastAsia"/>
          <w:lang w:eastAsia="ko-KR"/>
        </w:rPr>
        <w:t xml:space="preserve">then </w:t>
      </w:r>
      <w:r w:rsidR="00A95D3D">
        <w:rPr>
          <w:rFonts w:eastAsiaTheme="minorEastAsia"/>
          <w:lang w:eastAsia="ko-KR"/>
        </w:rPr>
        <w:t xml:space="preserve">can increase </w:t>
      </w:r>
      <w:r w:rsidR="00252572">
        <w:rPr>
          <w:rFonts w:eastAsiaTheme="minorEastAsia"/>
          <w:lang w:eastAsia="ko-KR"/>
        </w:rPr>
        <w:t xml:space="preserve">walking among older adults in the household through social companionship effects. </w:t>
      </w:r>
    </w:p>
    <w:p w14:paraId="626074B5" w14:textId="12F0C652" w:rsidR="00371BC4" w:rsidRDefault="00A95D3D" w:rsidP="00662E40">
      <w:pPr>
        <w:pStyle w:val="whitespace-pre-wrap"/>
        <w:spacing w:before="0" w:beforeAutospacing="0" w:after="0" w:afterAutospacing="0"/>
        <w:ind w:firstLine="720"/>
        <w:jc w:val="both"/>
      </w:pPr>
      <w:r>
        <w:t>S</w:t>
      </w:r>
      <w:r w:rsidR="00D452EC" w:rsidRPr="008D2721">
        <w:t>ocioeconomic status</w:t>
      </w:r>
      <w:r w:rsidR="009B59C5">
        <w:t xml:space="preserve"> (SES)</w:t>
      </w:r>
      <w:r w:rsidR="00D452EC">
        <w:t>, including income</w:t>
      </w:r>
      <w:r w:rsidR="00BB0B32">
        <w:t xml:space="preserve"> and race</w:t>
      </w:r>
      <w:r w:rsidR="00D452EC">
        <w:t xml:space="preserve">, </w:t>
      </w:r>
      <w:r>
        <w:t xml:space="preserve">also </w:t>
      </w:r>
      <w:r w:rsidR="00D452EC" w:rsidRPr="008D2721">
        <w:t xml:space="preserve">emerges as a significant factor influencing walking habits, with lower-income </w:t>
      </w:r>
      <w:r w:rsidR="00D452EC" w:rsidRPr="00935463">
        <w:t xml:space="preserve">individuals and racial minorities often facing </w:t>
      </w:r>
      <w:r w:rsidR="00BB0B32" w:rsidRPr="00935463">
        <w:t xml:space="preserve">physical </w:t>
      </w:r>
      <w:r w:rsidR="00D452EC" w:rsidRPr="00935463">
        <w:t>barriers to safe and accessible walking infrastructure</w:t>
      </w:r>
      <w:r w:rsidR="009B59C5">
        <w:t xml:space="preserve">. </w:t>
      </w:r>
      <w:r w:rsidR="00371BC4" w:rsidRPr="00B95DB3">
        <w:t>For example, w</w:t>
      </w:r>
      <w:r w:rsidR="009B59C5" w:rsidRPr="00B95DB3">
        <w:t>hile there are many considerations related to the walking environment in</w:t>
      </w:r>
      <w:r w:rsidR="00CD43F1" w:rsidRPr="00B95DB3">
        <w:t xml:space="preserve"> SES </w:t>
      </w:r>
      <w:r w:rsidR="009B59C5" w:rsidRPr="00B95DB3">
        <w:t>neighborhoods,</w:t>
      </w:r>
      <w:r w:rsidR="00262A27" w:rsidRPr="00B95DB3">
        <w:rPr>
          <w:rFonts w:eastAsiaTheme="minorEastAsia" w:hint="eastAsia"/>
          <w:lang w:eastAsia="ko-KR"/>
        </w:rPr>
        <w:t xml:space="preserve"> </w:t>
      </w:r>
      <w:r w:rsidR="00262A27" w:rsidRPr="00B95DB3">
        <w:rPr>
          <w:rFonts w:eastAsiaTheme="minorEastAsia"/>
          <w:lang w:eastAsia="ko-KR"/>
        </w:rPr>
        <w:fldChar w:fldCharType="begin"/>
      </w:r>
      <w:r w:rsidR="003828FC">
        <w:rPr>
          <w:rFonts w:eastAsiaTheme="minorEastAsia"/>
          <w:lang w:eastAsia="ko-KR"/>
        </w:rPr>
        <w:instrText xml:space="preserve"> ADDIN ZOTERO_ITEM CSL_CITATION {"citationID":"mK1KKll3","properties":{"formattedCitation":"(Haddad et al., 2023)","plainCitation":"(Haddad et al., 2023)","dontUpdate":true,"noteIndex":0},"citationItems":[{"id":1164,"uris":["http://zotero.org/users/10132210/items/8D4Z6V34"],"itemData":{"id":1164,"type":"article-journal","abstract":"In this paper, we unpack the magnitude effects of the determinants of pedestrian crashes using a multivariate analysis approach. We consider four sets of exogenous factors that characterize residential neighborhoods as well as potentially affect pedestrian crashes and the racial composition of such crashes: (1) crash risk exposure (CE) attributes, (2) cultural variables, (3) built environment (BE) features, and (4) sociodemographic (SD) factors. Our investigation uses pedestrian crash and related data from the City of Houston, Texas, which we analyze at the spatial Census Block Group (CBG) level. Our results indicate that social resistance considerations (that is, minorities resisting norms as they are perceived as being set by the majority group), density of transit stops, and road design considerations (in particular in and around areas with high land-use diversity) are the three strongest determinants of pedestrian crashes, particularly in CBGs with a majority of the resident population being Black. The findings of this study can enable policymakers and planners to develop more effective countermeasures and interventions to contain the growing number of pedestrian crashes in recent years, as well as racial disparities in pedestrian crashes. Importantly, transportation safety engineers need to work with social scientists and engage with community leaders to build trust before leaping into implementing planning countermeasures and interventions. Issues of social resistance, in particular, need to be kept in mind.","container-title":"Accident Analysis &amp; Prevention","DOI":"10.1016/j.aap.2023.106954","ISSN":"00014575","journalAbbreviation":"Accident Analysis &amp; Prevention","language":"en","page":"106954","source":"DOI.org (Crossref)","title":"Pedestrian crash frequency: Unpacking the effects of contributing factors and racial disparities","title-short":"Pedestrian crash frequency","volume":"182","author":[{"family":"Haddad","given":"Angela J."},{"family":"Mondal","given":"Aupal"},{"family":"Bhat","given":"Chandra R."},{"family":"Zhang","given":"Angie"},{"family":"Liao","given":"Madison C."},{"family":"Macias","given":"Lisa J."},{"family":"Lee","given":"Min Kyung"},{"family":"Watkins","given":"S. Craig"}],"issued":{"date-parts":[["2023",3]]}}}],"schema":"https://github.com/citation-style-language/schema/raw/master/csl-citation.json"} </w:instrText>
      </w:r>
      <w:r w:rsidR="00262A27" w:rsidRPr="00B95DB3">
        <w:rPr>
          <w:rFonts w:eastAsiaTheme="minorEastAsia"/>
          <w:lang w:eastAsia="ko-KR"/>
        </w:rPr>
        <w:fldChar w:fldCharType="separate"/>
      </w:r>
      <w:r w:rsidR="00262A27" w:rsidRPr="00B95DB3">
        <w:rPr>
          <w:rFonts w:eastAsiaTheme="minorEastAsia"/>
        </w:rPr>
        <w:t xml:space="preserve">Haddad et al. </w:t>
      </w:r>
      <w:r w:rsidR="00680E11" w:rsidRPr="00B95DB3">
        <w:rPr>
          <w:rFonts w:eastAsiaTheme="minorEastAsia" w:hint="eastAsia"/>
          <w:lang w:eastAsia="ko-KR"/>
        </w:rPr>
        <w:t>(</w:t>
      </w:r>
      <w:r w:rsidR="00262A27" w:rsidRPr="00B95DB3">
        <w:rPr>
          <w:rFonts w:eastAsiaTheme="minorEastAsia"/>
        </w:rPr>
        <w:t>2023)</w:t>
      </w:r>
      <w:r w:rsidR="00262A27" w:rsidRPr="00B95DB3">
        <w:rPr>
          <w:rFonts w:eastAsiaTheme="minorEastAsia"/>
          <w:lang w:eastAsia="ko-KR"/>
        </w:rPr>
        <w:fldChar w:fldCharType="end"/>
      </w:r>
      <w:r w:rsidR="00680E11" w:rsidRPr="00B95DB3">
        <w:rPr>
          <w:rFonts w:eastAsiaTheme="minorEastAsia" w:hint="eastAsia"/>
          <w:lang w:eastAsia="ko-KR"/>
        </w:rPr>
        <w:t xml:space="preserve"> </w:t>
      </w:r>
      <w:r w:rsidR="009B59C5" w:rsidRPr="00B95DB3">
        <w:t>observed that high transit use (typical in SES neighborhoods), combined with the traditional bus stop</w:t>
      </w:r>
      <w:r w:rsidR="00CD43F1" w:rsidRPr="00B95DB3">
        <w:t xml:space="preserve"> placement </w:t>
      </w:r>
      <w:r w:rsidR="009B59C5" w:rsidRPr="00B95DB3">
        <w:t xml:space="preserve">in close proximity of intersection crosswalks, contribute </w:t>
      </w:r>
      <w:r w:rsidR="006F6F47" w:rsidRPr="00B95DB3">
        <w:t>substantially to</w:t>
      </w:r>
      <w:r w:rsidR="009B59C5" w:rsidRPr="00B95DB3">
        <w:t xml:space="preserve"> pedestrian crashes. This </w:t>
      </w:r>
      <w:r w:rsidR="00CD43F1" w:rsidRPr="00B95DB3">
        <w:t xml:space="preserve">traditional </w:t>
      </w:r>
      <w:r w:rsidR="00371BC4" w:rsidRPr="00B95DB3">
        <w:t xml:space="preserve">stop </w:t>
      </w:r>
      <w:r w:rsidR="00CD43F1" w:rsidRPr="00B95DB3">
        <w:t xml:space="preserve">placement serves to reduce </w:t>
      </w:r>
      <w:r w:rsidR="009B59C5" w:rsidRPr="00B95DB3">
        <w:t xml:space="preserve">the </w:t>
      </w:r>
      <w:r w:rsidR="00C82D72" w:rsidRPr="00B95DB3">
        <w:t>walking</w:t>
      </w:r>
      <w:r w:rsidR="009B59C5" w:rsidRPr="00B95DB3">
        <w:t xml:space="preserve"> distance from across the street to a bus stop. </w:t>
      </w:r>
      <w:r w:rsidR="00CD43F1" w:rsidRPr="00B95DB3">
        <w:t xml:space="preserve">But it </w:t>
      </w:r>
      <w:r w:rsidR="009B59C5" w:rsidRPr="00B95DB3">
        <w:t xml:space="preserve">also reduces the field of vision </w:t>
      </w:r>
      <w:r w:rsidR="00CD43F1" w:rsidRPr="00B95DB3">
        <w:t xml:space="preserve">of a crossing pedestrian </w:t>
      </w:r>
      <w:r w:rsidR="009B59C5" w:rsidRPr="00B95DB3">
        <w:t xml:space="preserve">and also </w:t>
      </w:r>
      <w:r w:rsidR="005B4CDB" w:rsidRPr="00B95DB3">
        <w:t xml:space="preserve">lowers the ability of </w:t>
      </w:r>
      <w:r w:rsidR="00CD43F1" w:rsidRPr="00B95DB3">
        <w:t>bus drivers</w:t>
      </w:r>
      <w:r w:rsidR="005B4CDB" w:rsidRPr="00B95DB3">
        <w:t xml:space="preserve"> </w:t>
      </w:r>
      <w:r w:rsidR="00CD43F1" w:rsidRPr="00B95DB3">
        <w:t>to spot crossing pedestrians (especially when making left turns;</w:t>
      </w:r>
      <w:r w:rsidR="00DD375F" w:rsidRPr="00B95DB3">
        <w:rPr>
          <w:rFonts w:eastAsiaTheme="minorEastAsia" w:hint="eastAsia"/>
          <w:lang w:eastAsia="ko-KR"/>
        </w:rPr>
        <w:t xml:space="preserve"> </w:t>
      </w:r>
      <w:r w:rsidR="00DD375F" w:rsidRPr="00B95DB3">
        <w:rPr>
          <w:rFonts w:eastAsiaTheme="minorEastAsia"/>
          <w:lang w:eastAsia="ko-KR"/>
        </w:rPr>
        <w:fldChar w:fldCharType="begin"/>
      </w:r>
      <w:r w:rsidR="003828FC">
        <w:rPr>
          <w:rFonts w:eastAsiaTheme="minorEastAsia"/>
          <w:lang w:eastAsia="ko-KR"/>
        </w:rPr>
        <w:instrText xml:space="preserve"> ADDIN ZOTERO_ITEM CSL_CITATION {"citationID":"NpFhaMVe","properties":{"formattedCitation":"(Samerei et al., 2021)","plainCitation":"(Samerei et al., 2021)","dontUpdate":true,"noteIndex":0},"citationItems":[{"id":1622,"uris":["http://zotero.org/users/10132210/items/BDIQ9YCL"],"itemData":{"id":1622,"type":"article-journal","abstract":"Understanding the relationship between bus-pedestrian crash severity and factors contributing to such crashes is important. However, there exists a dearth of research on the factors affecting bus-pedestrian crash severity. This study aims to fulfil this gap by investigating the factors affecting the severity of pedestrian injuries. A data set of bus-pedestrian crashes in the State of Victoria, Australia was analysed over the period of 2006 À 2019. Through the results of association rule discovery method, the factors that increase the risk of pedestrian fatality are darkness, pedestrian walking on carriageway with traffic, intersections, high speed zone, old pedestrian, young bus driver and weekend holidays. Furthermore, co-occurrence of factors that increase the risk of a pedestrian fatality were extracted. To reduce the injuries of bus-pedestrian crashes, we recommend improving the light conditions, reducing the jaywalking behaviour of pedestrians, implementing speed bumps in high speed zones and installing pedestrian detection systems on buses.","container-title":"International Journal of Injury Control and Safety Promotion","DOI":"10.1080/17457300.2021.1907597","ISSN":"1745-7300, 1745-7319","issue":"2","journalAbbreviation":"International Journal of Injury Control and Safety Promotion","language":"en","page":"233-242","source":"DOI.org (Crossref)","title":"Modelling bus-pedestrian crash severity in the state of Victoria, Australia","volume":"28","author":[{"family":"Samerei","given":"Seyed Alireza"},{"family":"Aghabayk","given":"Kayvan"},{"family":"Shiwakoti","given":"Nirajan"},{"family":"Karimi","given":"Sajjad"}],"issued":{"date-parts":[["2021",4,3]]}}}],"schema":"https://github.com/citation-style-language/schema/raw/master/csl-citation.json"} </w:instrText>
      </w:r>
      <w:r w:rsidR="00DD375F" w:rsidRPr="00B95DB3">
        <w:rPr>
          <w:rFonts w:eastAsiaTheme="minorEastAsia"/>
          <w:lang w:eastAsia="ko-KR"/>
        </w:rPr>
        <w:fldChar w:fldCharType="separate"/>
      </w:r>
      <w:r w:rsidR="00DD375F" w:rsidRPr="00B95DB3">
        <w:rPr>
          <w:rFonts w:eastAsiaTheme="minorEastAsia"/>
        </w:rPr>
        <w:t>Samerei et al., 2021)</w:t>
      </w:r>
      <w:r w:rsidR="00DD375F" w:rsidRPr="00B95DB3">
        <w:rPr>
          <w:rFonts w:eastAsiaTheme="minorEastAsia"/>
          <w:lang w:eastAsia="ko-KR"/>
        </w:rPr>
        <w:fldChar w:fldCharType="end"/>
      </w:r>
      <w:r w:rsidR="005E47BF" w:rsidRPr="00B95DB3">
        <w:rPr>
          <w:rFonts w:eastAsiaTheme="minorEastAsia" w:hint="eastAsia"/>
          <w:lang w:eastAsia="ko-KR"/>
        </w:rPr>
        <w:t xml:space="preserve"> </w:t>
      </w:r>
      <w:r w:rsidR="00CD43F1" w:rsidRPr="00B95DB3">
        <w:t>Focused bus driver training programs</w:t>
      </w:r>
      <w:r w:rsidR="00371BC4" w:rsidRPr="00B95DB3">
        <w:t>, particularly for drivers traveling</w:t>
      </w:r>
      <w:r w:rsidR="00CD43F1" w:rsidRPr="00B95DB3">
        <w:t xml:space="preserve"> </w:t>
      </w:r>
      <w:r w:rsidR="00371BC4" w:rsidRPr="00B95DB3">
        <w:t xml:space="preserve">routes through neighborhoods with a high share of transit users and pedestrian movement, </w:t>
      </w:r>
      <w:r w:rsidR="00CD43F1" w:rsidRPr="00B95DB3">
        <w:t xml:space="preserve">can help </w:t>
      </w:r>
      <w:r w:rsidR="00371BC4" w:rsidRPr="00B95DB3">
        <w:t>improve</w:t>
      </w:r>
      <w:r w:rsidR="00CD43F1" w:rsidRPr="00B95DB3">
        <w:t xml:space="preserve"> </w:t>
      </w:r>
      <w:r w:rsidR="00371BC4" w:rsidRPr="00B95DB3">
        <w:t xml:space="preserve">traffic </w:t>
      </w:r>
      <w:r w:rsidR="00CD43F1" w:rsidRPr="00B95DB3">
        <w:t xml:space="preserve">safety at </w:t>
      </w:r>
      <w:r w:rsidR="009B59C5" w:rsidRPr="00B95DB3">
        <w:t>transit-embarking and transit-disembarking points</w:t>
      </w:r>
      <w:r w:rsidR="00371BC4" w:rsidRPr="00B95DB3">
        <w:t xml:space="preserve">. Other investments to promote walking in SES neighborhoods can include providing adequate lighting, benches, and green spaces. </w:t>
      </w:r>
      <w:r w:rsidR="0066557C" w:rsidRPr="00B95DB3">
        <w:fldChar w:fldCharType="begin"/>
      </w:r>
      <w:r w:rsidR="003828FC">
        <w:instrText xml:space="preserve"> ADDIN ZOTERO_ITEM CSL_CITATION {"citationID":"mO3Ma4zI","properties":{"formattedCitation":"(Richardson et al., 2020)","plainCitation":"(Richardson et al., 2020)","dontUpdate":true,"noteIndex":0},"citationItems":[{"id":1163,"uris":["http://zotero.org/users/10132210/items/FCPXKT4Y"],"itemData":{"id":1163,"type":"article-journal","container-title":"Journal of Urban Health","DOI":"10.1007/s11524-019-00416-7","ISSN":"1099-3460, 1468-2869","issue":"2","journalAbbreviation":"J Urban Health","language":"en","page":"204-212","source":"DOI.org (Crossref)","title":"Improved Street Walkability, Incivilities, and Esthetics Are Associated with Greater Park Use in Two Low-Income Neighborhoods","volume":"97","author":[{"family":"Richardson","given":"Andrea S."},{"family":"Ghosh-Dastidar","given":"Madhumita"},{"family":"Collins","given":"Rebecca L."},{"family":"Hunter","given":"Gerald P."},{"family":"Troxel","given":"Wendy M."},{"family":"Colabianchi","given":"Natalie"},{"family":"Cohen","given":"Deborah A."},{"family":"Dubowitz","given":"Tamara"}],"issued":{"date-parts":[["2020",4]]}}}],"schema":"https://github.com/citation-style-language/schema/raw/master/csl-citation.json"} </w:instrText>
      </w:r>
      <w:r w:rsidR="0066557C" w:rsidRPr="00B95DB3">
        <w:fldChar w:fldCharType="separate"/>
      </w:r>
      <w:r w:rsidR="0066557C" w:rsidRPr="00B95DB3">
        <w:t>Richardson et al.</w:t>
      </w:r>
      <w:r w:rsidR="00B95DB3" w:rsidRPr="00B95DB3">
        <w:rPr>
          <w:rFonts w:eastAsiaTheme="minorEastAsia" w:hint="eastAsia"/>
          <w:lang w:eastAsia="ko-KR"/>
        </w:rPr>
        <w:t xml:space="preserve"> (</w:t>
      </w:r>
      <w:r w:rsidR="0066557C" w:rsidRPr="00B95DB3">
        <w:t>2020)</w:t>
      </w:r>
      <w:r w:rsidR="0066557C" w:rsidRPr="00B95DB3">
        <w:fldChar w:fldCharType="end"/>
      </w:r>
      <w:r w:rsidR="00371BC4" w:rsidRPr="00B95DB3">
        <w:t xml:space="preserve"> reported an increase in walking within parks when such safety </w:t>
      </w:r>
      <w:r w:rsidR="00532A4C" w:rsidRPr="00B95DB3">
        <w:t>investments were made in the immediate proximity of SES neighborhoods.</w:t>
      </w:r>
      <w:r w:rsidR="00532A4C">
        <w:t xml:space="preserve"> </w:t>
      </w:r>
    </w:p>
    <w:p w14:paraId="39F4E4F9" w14:textId="77777777" w:rsidR="00662E40" w:rsidRDefault="00662E40" w:rsidP="00662E40">
      <w:pPr>
        <w:pStyle w:val="whitespace-pre-wrap"/>
        <w:spacing w:before="0" w:beforeAutospacing="0" w:after="0" w:afterAutospacing="0"/>
        <w:ind w:firstLine="720"/>
        <w:jc w:val="both"/>
        <w:rPr>
          <w:rFonts w:eastAsiaTheme="minorEastAsia"/>
          <w:lang w:eastAsia="ko-KR"/>
        </w:rPr>
      </w:pPr>
    </w:p>
    <w:p w14:paraId="599AA1DF" w14:textId="1F8EF93A" w:rsidR="0056012E" w:rsidRPr="00A40901" w:rsidRDefault="006A5674" w:rsidP="00662E40">
      <w:pPr>
        <w:pStyle w:val="Heading2"/>
        <w:spacing w:line="240" w:lineRule="auto"/>
        <w:ind w:hanging="540"/>
        <w:contextualSpacing w:val="0"/>
        <w:rPr>
          <w:lang w:eastAsia="ko-KR"/>
        </w:rPr>
      </w:pPr>
      <w:r>
        <w:rPr>
          <w:lang w:eastAsia="ko-KR"/>
        </w:rPr>
        <w:t>Awareness/Incentive Programs</w:t>
      </w:r>
    </w:p>
    <w:p w14:paraId="366ECBD6" w14:textId="3A3D5B61" w:rsidR="00D452EC" w:rsidRPr="00935463" w:rsidRDefault="00D452EC" w:rsidP="00662E40">
      <w:pPr>
        <w:jc w:val="both"/>
        <w:rPr>
          <w:rFonts w:ascii="Times New Roman" w:hAnsi="Times New Roman"/>
        </w:rPr>
      </w:pPr>
      <w:r w:rsidRPr="002E4F5D">
        <w:rPr>
          <w:rFonts w:ascii="Times New Roman" w:hAnsi="Times New Roman"/>
        </w:rPr>
        <w:t xml:space="preserve">Raising awareness </w:t>
      </w:r>
      <w:r w:rsidR="0027056D">
        <w:rPr>
          <w:rFonts w:ascii="Times New Roman" w:hAnsi="Times New Roman" w:hint="eastAsia"/>
        </w:rPr>
        <w:t>o</w:t>
      </w:r>
      <w:r w:rsidR="0027056D">
        <w:rPr>
          <w:rFonts w:ascii="Times New Roman" w:hAnsi="Times New Roman"/>
        </w:rPr>
        <w:t>f</w:t>
      </w:r>
      <w:r w:rsidR="0027056D" w:rsidRPr="002E4F5D">
        <w:rPr>
          <w:rFonts w:ascii="Times New Roman" w:hAnsi="Times New Roman"/>
        </w:rPr>
        <w:t xml:space="preserve"> </w:t>
      </w:r>
      <w:r>
        <w:rPr>
          <w:rFonts w:ascii="Times New Roman" w:hAnsi="Times New Roman" w:hint="eastAsia"/>
        </w:rPr>
        <w:t xml:space="preserve">the </w:t>
      </w:r>
      <w:r w:rsidRPr="002E4F5D">
        <w:rPr>
          <w:rFonts w:ascii="Times New Roman" w:hAnsi="Times New Roman"/>
        </w:rPr>
        <w:t>physical and mental health benefits of regular walking</w:t>
      </w:r>
      <w:r>
        <w:rPr>
          <w:rFonts w:ascii="Times New Roman" w:hAnsi="Times New Roman" w:hint="eastAsia"/>
        </w:rPr>
        <w:t xml:space="preserve"> </w:t>
      </w:r>
      <w:r w:rsidR="0027056D">
        <w:rPr>
          <w:rFonts w:ascii="Times New Roman" w:hAnsi="Times New Roman"/>
        </w:rPr>
        <w:t>can be</w:t>
      </w:r>
      <w:r w:rsidRPr="002E4F5D">
        <w:rPr>
          <w:rFonts w:ascii="Times New Roman" w:hAnsi="Times New Roman"/>
        </w:rPr>
        <w:t xml:space="preserve"> a</w:t>
      </w:r>
      <w:r w:rsidR="00532A4C">
        <w:rPr>
          <w:rFonts w:ascii="Times New Roman" w:hAnsi="Times New Roman"/>
        </w:rPr>
        <w:t>nother</w:t>
      </w:r>
      <w:r w:rsidRPr="002E4F5D">
        <w:rPr>
          <w:rFonts w:ascii="Times New Roman" w:hAnsi="Times New Roman"/>
        </w:rPr>
        <w:t xml:space="preserve"> useful strategy</w:t>
      </w:r>
      <w:r w:rsidR="00532A4C">
        <w:rPr>
          <w:rFonts w:ascii="Times New Roman" w:hAnsi="Times New Roman"/>
        </w:rPr>
        <w:t xml:space="preserve"> </w:t>
      </w:r>
      <w:r w:rsidRPr="002E4F5D">
        <w:rPr>
          <w:rFonts w:ascii="Times New Roman" w:hAnsi="Times New Roman"/>
        </w:rPr>
        <w:t>for promoting active lifestyles among seniors</w:t>
      </w:r>
      <w:r w:rsidR="003123FA" w:rsidRPr="00935463">
        <w:rPr>
          <w:rFonts w:ascii="Times New Roman" w:hAnsi="Times New Roman"/>
        </w:rPr>
        <w:t xml:space="preserve">. </w:t>
      </w:r>
      <w:r w:rsidR="00D1345E" w:rsidRPr="00935463">
        <w:rPr>
          <w:rFonts w:ascii="Times New Roman" w:hAnsi="Times New Roman"/>
        </w:rPr>
        <w:t>Impactful</w:t>
      </w:r>
      <w:r w:rsidR="00D1345E" w:rsidRPr="00935463">
        <w:t xml:space="preserve"> education campaigns </w:t>
      </w:r>
      <w:r w:rsidR="005B4CDB">
        <w:t>through both traditional</w:t>
      </w:r>
      <w:r w:rsidR="00D1345E" w:rsidRPr="00935463">
        <w:t xml:space="preserve"> media channels</w:t>
      </w:r>
      <w:r w:rsidR="005B4CDB">
        <w:t xml:space="preserve"> (</w:t>
      </w:r>
      <w:r w:rsidR="00D1345E" w:rsidRPr="00935463">
        <w:t>television</w:t>
      </w:r>
      <w:r w:rsidR="005B4CDB">
        <w:t xml:space="preserve"> and radio) and digital social media can be effective, as </w:t>
      </w:r>
      <w:r w:rsidR="00D1345E" w:rsidRPr="00935463">
        <w:t xml:space="preserve">adults over 50 spend </w:t>
      </w:r>
      <w:r w:rsidR="006F6F47">
        <w:t xml:space="preserve">a good part of their awake </w:t>
      </w:r>
      <w:r w:rsidR="005B4CDB">
        <w:t xml:space="preserve">time watching TV and spend a comparable amount of time on social media relative to their younger peers </w:t>
      </w:r>
      <w:r w:rsidR="00062FFF" w:rsidRPr="00935463">
        <w:fldChar w:fldCharType="begin"/>
      </w:r>
      <w:r w:rsidR="003123FA" w:rsidRPr="00935463">
        <w:instrText xml:space="preserve"> ADDIN ZOTERO_ITEM CSL_CITATION {"citationID":"y7qf3Hi3","properties":{"formattedCitation":"(Sheldon et al., 2021)","plainCitation":"(Sheldon et al., 2021)","dontUpdate":true,"noteIndex":0},"citationItems":[{"id":1174,"uris":["http://zotero.org/users/10132210/items/HHZKGSXP"],"itemData":{"id":1174,"type":"article-journal","abstract":"Social media research tends to prioritize how young adults – and college students, in particular – use social network sites. While several studies have focused on how Facebook can help alleviate loneliness among older adults, the motives for using other social media platforms, including Instagram, have not been adequately explored. This study therefore focuses on how a uses and gratiﬁcations framework applies to older users of Facebook and Instagram, including the relationship to contextual age. A survey of 414 Baby Boomers and Traditionalists was conducted in the Fall of 2019. The results revealed that older adults rely on Facebook and Instagram to compensate for the lack of social activity and face-to-face interactions in their daily lives. These patterns are consistent with social compensation hypothesis and contradict the ﬁndings of studies done with college students. In addition, the older adults' life satisfaction was a negative predictor of using these sites for companionship and diversion. Future research should furthermore explore how other personality traits and social situations might inﬂuence older individuals use of social media. This knowledge can be particularly useful in times of health pandemic, such as COVID-19, when so many older individuals are conﬁned to their homes and rely on social media for interaction and entertainment. Insight into intergenerational social media usage differences can also beneﬁt advertisers, policy makers, recreational groups, healthcare and social services.","container-title":"Heliyon","DOI":"10.1016/j.heliyon.2021.e06670","ISSN":"24058440","issue":"4","journalAbbreviation":"Heliyon","language":"en","page":"e06670","source":"DOI.org (Crossref)","title":"Baby Boomers' use of Facebook and Instagram: uses and gratifications theory and contextual age indicators","title-short":"Baby Boomers' use of Facebook and Instagram","volume":"7","author":[{"family":"Sheldon","given":"Pavica"},{"family":"Antony","given":"Mary Grace"},{"family":"Ware","given":"Lynn Johnson"}],"issued":{"date-parts":[["2021",4]]}}}],"schema":"https://github.com/citation-style-language/schema/raw/master/csl-citation.json"} </w:instrText>
      </w:r>
      <w:r w:rsidR="00062FFF" w:rsidRPr="00935463">
        <w:fldChar w:fldCharType="separate"/>
      </w:r>
      <w:r w:rsidR="00062FFF" w:rsidRPr="00935463">
        <w:rPr>
          <w:rFonts w:cs="Times"/>
        </w:rPr>
        <w:t>(see Sheldon et al., 2021)</w:t>
      </w:r>
      <w:r w:rsidR="00062FFF" w:rsidRPr="00935463">
        <w:fldChar w:fldCharType="end"/>
      </w:r>
      <w:r w:rsidR="00062FFF" w:rsidRPr="00935463">
        <w:t xml:space="preserve">. </w:t>
      </w:r>
      <w:r w:rsidRPr="00935463">
        <w:rPr>
          <w:rFonts w:ascii="Times New Roman" w:hAnsi="Times New Roman"/>
        </w:rPr>
        <w:t>Similarly, culturally relevant campaigns spearheaded by influencers from underserved communities can effectively communicate the availability of safe, accessible walking environments</w:t>
      </w:r>
      <w:r w:rsidR="006A5674">
        <w:rPr>
          <w:rFonts w:ascii="Times New Roman" w:hAnsi="Times New Roman"/>
        </w:rPr>
        <w:t>,</w:t>
      </w:r>
      <w:r w:rsidRPr="00935463">
        <w:rPr>
          <w:rFonts w:ascii="Times New Roman" w:hAnsi="Times New Roman"/>
        </w:rPr>
        <w:t xml:space="preserve"> while </w:t>
      </w:r>
      <w:r w:rsidR="006A5674">
        <w:rPr>
          <w:rFonts w:ascii="Times New Roman" w:hAnsi="Times New Roman"/>
        </w:rPr>
        <w:t xml:space="preserve">providing </w:t>
      </w:r>
      <w:r w:rsidRPr="00935463">
        <w:rPr>
          <w:rFonts w:ascii="Times New Roman" w:hAnsi="Times New Roman"/>
        </w:rPr>
        <w:t xml:space="preserve">practical tips and strategies tailored to the specific needs and concerns of each target audience. </w:t>
      </w:r>
    </w:p>
    <w:p w14:paraId="538E9FA4" w14:textId="756F7EDB" w:rsidR="00D452EC" w:rsidRDefault="006A5674" w:rsidP="00662E40">
      <w:pPr>
        <w:ind w:firstLine="720"/>
        <w:jc w:val="both"/>
        <w:rPr>
          <w:rFonts w:ascii="Times New Roman" w:hAnsi="Times New Roman"/>
        </w:rPr>
      </w:pPr>
      <w:r>
        <w:rPr>
          <w:rFonts w:ascii="Times New Roman" w:hAnsi="Times New Roman"/>
        </w:rPr>
        <w:t xml:space="preserve">Awareness </w:t>
      </w:r>
      <w:r w:rsidR="00D1345E" w:rsidRPr="00935463">
        <w:rPr>
          <w:rFonts w:ascii="Times New Roman" w:hAnsi="Times New Roman"/>
        </w:rPr>
        <w:t xml:space="preserve">campaigns </w:t>
      </w:r>
      <w:r>
        <w:rPr>
          <w:rFonts w:ascii="Times New Roman" w:hAnsi="Times New Roman"/>
        </w:rPr>
        <w:t xml:space="preserve">can also be complemented </w:t>
      </w:r>
      <w:r w:rsidR="00D1345E" w:rsidRPr="00935463">
        <w:rPr>
          <w:rFonts w:ascii="Times New Roman" w:hAnsi="Times New Roman"/>
        </w:rPr>
        <w:t xml:space="preserve">with </w:t>
      </w:r>
      <w:r w:rsidR="00062FFF" w:rsidRPr="00935463">
        <w:rPr>
          <w:rFonts w:ascii="Times New Roman" w:hAnsi="Times New Roman"/>
        </w:rPr>
        <w:t xml:space="preserve">approaches </w:t>
      </w:r>
      <w:r>
        <w:rPr>
          <w:rFonts w:ascii="Times New Roman" w:hAnsi="Times New Roman"/>
        </w:rPr>
        <w:t xml:space="preserve">that </w:t>
      </w:r>
      <w:r w:rsidR="00062FFF" w:rsidRPr="00935463">
        <w:rPr>
          <w:rFonts w:ascii="Times New Roman" w:hAnsi="Times New Roman"/>
        </w:rPr>
        <w:t>leverag</w:t>
      </w:r>
      <w:r>
        <w:rPr>
          <w:rFonts w:ascii="Times New Roman" w:hAnsi="Times New Roman"/>
        </w:rPr>
        <w:t>e</w:t>
      </w:r>
      <w:r w:rsidR="00062FFF" w:rsidRPr="00935463">
        <w:rPr>
          <w:rFonts w:ascii="Times New Roman" w:hAnsi="Times New Roman"/>
        </w:rPr>
        <w:t xml:space="preserve"> </w:t>
      </w:r>
      <w:r w:rsidR="00BB0B32" w:rsidRPr="00935463">
        <w:rPr>
          <w:rFonts w:ascii="Times New Roman" w:hAnsi="Times New Roman"/>
        </w:rPr>
        <w:t xml:space="preserve">wearable </w:t>
      </w:r>
      <w:r w:rsidR="00D1345E" w:rsidRPr="00935463">
        <w:rPr>
          <w:rFonts w:ascii="Times New Roman" w:hAnsi="Times New Roman"/>
        </w:rPr>
        <w:t>activity</w:t>
      </w:r>
      <w:r>
        <w:rPr>
          <w:rFonts w:ascii="Times New Roman" w:hAnsi="Times New Roman"/>
        </w:rPr>
        <w:t>-</w:t>
      </w:r>
      <w:r w:rsidR="00BB0B32" w:rsidRPr="00935463">
        <w:rPr>
          <w:rFonts w:ascii="Times New Roman" w:hAnsi="Times New Roman"/>
        </w:rPr>
        <w:t xml:space="preserve"> and fitness</w:t>
      </w:r>
      <w:r w:rsidR="0027056D" w:rsidRPr="00935463">
        <w:rPr>
          <w:rFonts w:ascii="Times New Roman" w:hAnsi="Times New Roman"/>
        </w:rPr>
        <w:t>-</w:t>
      </w:r>
      <w:r w:rsidR="00D1345E" w:rsidRPr="00935463">
        <w:rPr>
          <w:rFonts w:ascii="Times New Roman" w:hAnsi="Times New Roman"/>
        </w:rPr>
        <w:t xml:space="preserve">tracking </w:t>
      </w:r>
      <w:r w:rsidR="00BB0B32" w:rsidRPr="00935463">
        <w:rPr>
          <w:rFonts w:ascii="Times New Roman" w:hAnsi="Times New Roman"/>
        </w:rPr>
        <w:t>devices</w:t>
      </w:r>
      <w:r w:rsidR="00D1345E" w:rsidRPr="00935463">
        <w:rPr>
          <w:rFonts w:ascii="Times New Roman" w:hAnsi="Times New Roman"/>
        </w:rPr>
        <w:t xml:space="preserve">. </w:t>
      </w:r>
      <w:r w:rsidR="00BB0B32" w:rsidRPr="00935463">
        <w:rPr>
          <w:rFonts w:ascii="Times New Roman" w:hAnsi="Times New Roman"/>
        </w:rPr>
        <w:t>Although</w:t>
      </w:r>
      <w:r w:rsidR="00D1345E" w:rsidRPr="00935463">
        <w:rPr>
          <w:rFonts w:ascii="Times New Roman" w:hAnsi="Times New Roman"/>
        </w:rPr>
        <w:t xml:space="preserve"> the</w:t>
      </w:r>
      <w:r w:rsidR="00BB0B32" w:rsidRPr="00935463">
        <w:rPr>
          <w:rFonts w:ascii="Times New Roman" w:hAnsi="Times New Roman"/>
        </w:rPr>
        <w:t>ir</w:t>
      </w:r>
      <w:r w:rsidR="00D1345E" w:rsidRPr="00935463">
        <w:rPr>
          <w:rFonts w:ascii="Times New Roman" w:hAnsi="Times New Roman"/>
        </w:rPr>
        <w:t xml:space="preserve"> long-term impact on user behavior </w:t>
      </w:r>
      <w:r w:rsidR="00BB0B32" w:rsidRPr="00935463">
        <w:rPr>
          <w:rFonts w:ascii="Times New Roman" w:hAnsi="Times New Roman"/>
        </w:rPr>
        <w:t>is still being studied</w:t>
      </w:r>
      <w:r w:rsidR="00D1345E" w:rsidRPr="00935463">
        <w:rPr>
          <w:rFonts w:ascii="Times New Roman" w:hAnsi="Times New Roman"/>
        </w:rPr>
        <w:t xml:space="preserve"> (</w:t>
      </w:r>
      <w:r w:rsidR="00D1345E" w:rsidRPr="00935463">
        <w:rPr>
          <w:rFonts w:ascii="Times New Roman" w:hAnsi="Times New Roman" w:hint="eastAsia"/>
        </w:rPr>
        <w:t>as</w:t>
      </w:r>
      <w:r w:rsidR="00D1345E" w:rsidRPr="00935463">
        <w:rPr>
          <w:rFonts w:ascii="Times New Roman" w:hAnsi="Times New Roman"/>
        </w:rPr>
        <w:t xml:space="preserve"> reported by </w:t>
      </w:r>
      <w:r w:rsidR="00D1345E" w:rsidRPr="00935463">
        <w:rPr>
          <w:rFonts w:ascii="Times New Roman" w:hAnsi="Times New Roman"/>
        </w:rPr>
        <w:fldChar w:fldCharType="begin"/>
      </w:r>
      <w:r w:rsidR="003123FA" w:rsidRPr="00935463">
        <w:rPr>
          <w:rFonts w:ascii="Times New Roman" w:hAnsi="Times New Roman"/>
        </w:rPr>
        <w:instrText xml:space="preserve"> ADDIN ZOTERO_ITEM CSL_CITATION {"citationID":"Jqx6KGG9","properties":{"formattedCitation":"(Heidel &amp; Hagist, 2020)","plainCitation":"(Heidel &amp; Hagist, 2020)","dontUpdate":true,"noteIndex":0},"citationItems":[{"id":1171,"uris":["http://zotero.org/users/10132210/items/QCU64ULZ"],"itemData":{"id":1171,"type":"article-journal","abstract":"Background: Germany is the first country worldwide that has introduced a digital care act as an incentive system to enhance the use of digital health devices, namely health apps and wearables, among its population. The act allows physicians to prescribe statutory financed and previously certified health apps and wearables to patients. This initiative has the potential to improve treatment quality through better disease management and monitoring.\nObjective: The aim of this paper was to outline the key concepts related to the potential risks and benefits discussed in the current literature about health apps and wearables. Furthermore, this study aimed to answer the research question: Which risks and benefits may result from the implementation of the digital care act in Germany?\nMethods: We conducted the scoping study by searching the databases PubMed, Google Scholar, and JMIR using the keywords health apps and wearables. We discussed 55 of 136 identified articles published in the English language from 2015 to March 2019 in this paper using a qualitative thematic analysis approach.\nResults: We identified four key themes within the articles: Effectivity of health apps and wearables to improve health; users of health apps and wearables; the potential of bring-your-own, self-tracked data; and concerns and data privacy risks. Within these themes, we identified three main stages of benefits for the German health care system: Usage of health apps and wearables; continuing to use health apps and wearables; and sharing bring-your-own; self-tracked data with different agents in the health care sector.\nConclusions: The digital care act could lead to an improvement in treatment quality through better patient monitoring, disease management, personalized therapy, and better health education. However, physicians should play an active role in recommending and supervising health app use to reach digital-illiterate or health-illiterate people. Age must not be an exclusion criterion. Yet, concerns about data privacy and security are very strong in Germany. Transparency about data processing should be provided at all times for continuing success of the digital care act in Germany.","container-title":"JMIR mHealth and uHealth","DOI":"10.2196/16444","ISSN":"2291-5222","issue":"9","journalAbbreviation":"JMIR Mhealth Uhealth","language":"en","page":"e16444","source":"DOI.org (Crossref)","title":"Potential Benefits and Risks Resulting From the Introduction of Health Apps and Wearables Into the German Statutory Health Care System: Scoping Review","title-short":"Potential Benefits and Risks Resulting From the Introduction of Health Apps and Wearables Into the German Statutory Health Care System","volume":"8","author":[{"family":"Heidel","given":"Alexandra"},{"family":"Hagist","given":"Christian"}],"issued":{"date-parts":[["2020",9,23]]}}}],"schema":"https://github.com/citation-style-language/schema/raw/master/csl-citation.json"} </w:instrText>
      </w:r>
      <w:r w:rsidR="00D1345E" w:rsidRPr="00935463">
        <w:rPr>
          <w:rFonts w:ascii="Times New Roman" w:hAnsi="Times New Roman"/>
        </w:rPr>
        <w:fldChar w:fldCharType="separate"/>
      </w:r>
      <w:r w:rsidR="00D1345E" w:rsidRPr="00935463">
        <w:rPr>
          <w:rFonts w:ascii="Times New Roman" w:hAnsi="Times New Roman"/>
        </w:rPr>
        <w:t>Heidel and Hagist, 2020</w:t>
      </w:r>
      <w:r w:rsidR="00D1345E" w:rsidRPr="00935463">
        <w:rPr>
          <w:rFonts w:ascii="Times New Roman" w:hAnsi="Times New Roman"/>
        </w:rPr>
        <w:fldChar w:fldCharType="end"/>
      </w:r>
      <w:r w:rsidR="00D1345E" w:rsidRPr="00935463">
        <w:rPr>
          <w:rFonts w:ascii="Times New Roman" w:hAnsi="Times New Roman"/>
        </w:rPr>
        <w:t>), the</w:t>
      </w:r>
      <w:r w:rsidR="00BB0B32" w:rsidRPr="00935463">
        <w:rPr>
          <w:rFonts w:ascii="Times New Roman" w:hAnsi="Times New Roman"/>
        </w:rPr>
        <w:t>se devices</w:t>
      </w:r>
      <w:r w:rsidR="00D1345E" w:rsidRPr="00935463">
        <w:rPr>
          <w:rFonts w:ascii="Times New Roman" w:hAnsi="Times New Roman"/>
        </w:rPr>
        <w:t xml:space="preserve"> </w:t>
      </w:r>
      <w:r w:rsidR="00BB0B32" w:rsidRPr="00935463">
        <w:rPr>
          <w:rFonts w:ascii="Times New Roman" w:hAnsi="Times New Roman"/>
        </w:rPr>
        <w:t>show</w:t>
      </w:r>
      <w:r w:rsidR="00D1345E" w:rsidRPr="00935463">
        <w:rPr>
          <w:rFonts w:ascii="Times New Roman" w:hAnsi="Times New Roman"/>
        </w:rPr>
        <w:t xml:space="preserve"> promise. </w:t>
      </w:r>
      <w:r w:rsidR="00D452EC" w:rsidRPr="00935463">
        <w:rPr>
          <w:rFonts w:ascii="Times New Roman" w:hAnsi="Times New Roman"/>
        </w:rPr>
        <w:t xml:space="preserve">Services based on </w:t>
      </w:r>
      <w:r w:rsidR="00D452EC" w:rsidRPr="00935463">
        <w:rPr>
          <w:rFonts w:ascii="Times New Roman" w:hAnsi="Times New Roman" w:hint="eastAsia"/>
        </w:rPr>
        <w:t>activity tracking</w:t>
      </w:r>
      <w:r w:rsidR="00D452EC" w:rsidRPr="00935463">
        <w:rPr>
          <w:rFonts w:ascii="Times New Roman" w:hAnsi="Times New Roman"/>
        </w:rPr>
        <w:t xml:space="preserve"> can boost walking among older adults in </w:t>
      </w:r>
      <w:r w:rsidR="00BB0B32" w:rsidRPr="00935463">
        <w:rPr>
          <w:rFonts w:ascii="Times New Roman" w:eastAsiaTheme="minorEastAsia" w:hAnsi="Times New Roman"/>
          <w:lang w:eastAsia="ko-KR"/>
        </w:rPr>
        <w:t>three</w:t>
      </w:r>
      <w:r w:rsidR="00D452EC" w:rsidRPr="00935463">
        <w:rPr>
          <w:rFonts w:ascii="Times New Roman" w:hAnsi="Times New Roman"/>
        </w:rPr>
        <w:t xml:space="preserve"> ways</w:t>
      </w:r>
      <w:r w:rsidR="005B4CDB">
        <w:rPr>
          <w:rFonts w:ascii="Times New Roman" w:hAnsi="Times New Roman"/>
        </w:rPr>
        <w:t xml:space="preserve">. </w:t>
      </w:r>
      <w:r w:rsidR="00D1345E" w:rsidRPr="00935463">
        <w:rPr>
          <w:rFonts w:ascii="Times New Roman" w:hAnsi="Times New Roman"/>
        </w:rPr>
        <w:t>First,</w:t>
      </w:r>
      <w:r w:rsidR="00D1345E" w:rsidRPr="00935463">
        <w:t xml:space="preserve"> </w:t>
      </w:r>
      <w:r>
        <w:t xml:space="preserve">older adults can </w:t>
      </w:r>
      <w:r w:rsidR="00D1345E" w:rsidRPr="00935463">
        <w:rPr>
          <w:rFonts w:ascii="Times New Roman" w:hAnsi="Times New Roman"/>
        </w:rPr>
        <w:t>shar</w:t>
      </w:r>
      <w:r>
        <w:rPr>
          <w:rFonts w:ascii="Times New Roman" w:hAnsi="Times New Roman"/>
        </w:rPr>
        <w:t>e</w:t>
      </w:r>
      <w:r w:rsidR="00D1345E" w:rsidRPr="00935463">
        <w:rPr>
          <w:rFonts w:ascii="Times New Roman" w:hAnsi="Times New Roman"/>
        </w:rPr>
        <w:t xml:space="preserve"> and compar</w:t>
      </w:r>
      <w:r>
        <w:rPr>
          <w:rFonts w:ascii="Times New Roman" w:hAnsi="Times New Roman"/>
        </w:rPr>
        <w:t>e</w:t>
      </w:r>
      <w:r w:rsidR="00D1345E" w:rsidRPr="00935463">
        <w:rPr>
          <w:rFonts w:ascii="Times New Roman" w:hAnsi="Times New Roman"/>
        </w:rPr>
        <w:t xml:space="preserve"> walking records</w:t>
      </w:r>
      <w:r w:rsidR="001B4C95">
        <w:rPr>
          <w:rFonts w:ascii="Times New Roman" w:hAnsi="Times New Roman"/>
        </w:rPr>
        <w:t xml:space="preserve"> virtually, </w:t>
      </w:r>
      <w:r w:rsidR="001B4C95" w:rsidRPr="00935463">
        <w:rPr>
          <w:rFonts w:ascii="Times New Roman" w:hAnsi="Times New Roman"/>
        </w:rPr>
        <w:t xml:space="preserve">such as daily step counts </w:t>
      </w:r>
      <w:r>
        <w:rPr>
          <w:rFonts w:ascii="Times New Roman" w:hAnsi="Times New Roman"/>
        </w:rPr>
        <w:t xml:space="preserve"> as collected by tracking devices</w:t>
      </w:r>
      <w:r w:rsidR="001B4C95">
        <w:rPr>
          <w:rFonts w:ascii="Times New Roman" w:hAnsi="Times New Roman"/>
        </w:rPr>
        <w:t>. This</w:t>
      </w:r>
      <w:r w:rsidR="00D1345E" w:rsidRPr="00935463">
        <w:rPr>
          <w:rFonts w:ascii="Times New Roman" w:hAnsi="Times New Roman"/>
        </w:rPr>
        <w:t xml:space="preserve"> can create a sense of community and accountability (see </w:t>
      </w:r>
      <w:r w:rsidR="00D452EC" w:rsidRPr="00935463">
        <w:rPr>
          <w:rFonts w:ascii="Times New Roman" w:hAnsi="Times New Roman"/>
        </w:rPr>
        <w:fldChar w:fldCharType="begin"/>
      </w:r>
      <w:r w:rsidR="003123FA" w:rsidRPr="00935463">
        <w:rPr>
          <w:rFonts w:ascii="Times New Roman" w:hAnsi="Times New Roman"/>
        </w:rPr>
        <w:instrText xml:space="preserve"> ADDIN ZOTERO_ITEM CSL_CITATION {"citationID":"DXAY52Y4","properties":{"formattedCitation":"(Foster et al., 2010; Liu &amp; Lachman, 2021)","plainCitation":"(Foster et al., 2010; Liu &amp; Lachman, 2021)","dontUpdate":true,"noteIndex":0},"citationItems":[{"id":1146,"uris":["http://zotero.org/users/10132210/items/Y2NVKN93"],"itemData":{"id":1146,"type":"paper-conference","container-title":"Proceedings of the 14th International Academic MindTrek Conference: Envisioning Future Media Environments","DOI":"10.1145/1930488.1930510","event-place":"Tampere Finland","event-title":"MindTrek '10: Academic MindTrek 2010","ISBN":"978-1-4503-0011-7","language":"en","page":"111-116","publisher":"ACM","publisher-place":"Tampere Finland","source":"DOI.org (Crossref)","title":"Motivating physical activity at work: using persuasive social media for competitive step counting","title-short":"Motivating physical activity at work","URL":"https://dl.acm.org/doi/10.1145/1930488.1930510","author":[{"family":"Foster","given":"Derek"},{"family":"Linehan","given":"Conor"},{"family":"Kirman","given":"Ben"},{"family":"Lawson","given":"Shaun"},{"family":"James","given":"Gary"}],"accessed":{"date-parts":[["2024",5,26]]},"issued":{"date-parts":[["2010",10,6]]}}},{"id":939,"uris":["http://zotero.org/users/10132210/items/DSGY58IF"],"itemData":{"id":939,"type":"article-journal","abstract":"Objectives. The aim of this study was to explore social engagement and social comparisons as mechanisms to increase physical activity among older adults. Methods. Participants (N ¼ 60, mean age ¼ 65.7) were randomly assigned to one of two conditions. Participants in the treatment condition used the application to track their daily walking steps and interact via text messages with their group members for 4 weeks. Participants in the control group used the application only to track their own walking steps. Outcome variables included mean weekly steps, exercise self-efficacy, and social engagement. Results. The results revealed that participants in the experimental condition significantly increased their mean weekly steps and social engagement from the pretest to the posttest whereas the control group did not. These effects were maintained at the 1-month follow up. Discussion. The study expands our understanding of the motivational role of social engagement and social comparison in increasing PA among older adults.","container-title":"Research on Aging","DOI":"10.1177/0164027520963613","ISSN":"0164-0275, 1552-7573","issue":"9-10","journalAbbreviation":"Res Aging","language":"en","page":"368-377","source":"DOI.org (Crossref)","title":"A Group-Based Walking Study to Enhance Physical Activity Among Older Adults: The Role of Social Engagement","title-short":"A Group-Based Walking Study to Enhance Physical Activity Among Older Adults","volume":"43","author":[{"family":"Liu","given":"Yujun"},{"family":"Lachman","given":"Margie E."}],"issued":{"date-parts":[["2021",10]]}}}],"schema":"https://github.com/citation-style-language/schema/raw/master/csl-citation.json"} </w:instrText>
      </w:r>
      <w:r w:rsidR="00D452EC" w:rsidRPr="00935463">
        <w:rPr>
          <w:rFonts w:ascii="Times New Roman" w:hAnsi="Times New Roman"/>
        </w:rPr>
        <w:fldChar w:fldCharType="separate"/>
      </w:r>
      <w:r w:rsidR="00D452EC" w:rsidRPr="00935463">
        <w:rPr>
          <w:rFonts w:ascii="Times New Roman" w:hAnsi="Times New Roman"/>
        </w:rPr>
        <w:t>Foster et al., 2010</w:t>
      </w:r>
      <w:r w:rsidR="00D1345E" w:rsidRPr="00935463">
        <w:rPr>
          <w:rFonts w:ascii="Times New Roman" w:hAnsi="Times New Roman"/>
        </w:rPr>
        <w:t>,</w:t>
      </w:r>
      <w:r w:rsidR="00D452EC" w:rsidRPr="00935463">
        <w:rPr>
          <w:rFonts w:ascii="Times New Roman" w:hAnsi="Times New Roman"/>
        </w:rPr>
        <w:t xml:space="preserve"> and Liu and Lachman,</w:t>
      </w:r>
      <w:r w:rsidR="00D1345E" w:rsidRPr="00935463">
        <w:rPr>
          <w:rFonts w:ascii="Times New Roman" w:hAnsi="Times New Roman"/>
        </w:rPr>
        <w:t xml:space="preserve"> </w:t>
      </w:r>
      <w:r w:rsidR="00D452EC" w:rsidRPr="00935463">
        <w:rPr>
          <w:rFonts w:ascii="Times New Roman" w:hAnsi="Times New Roman"/>
        </w:rPr>
        <w:t>2021)</w:t>
      </w:r>
      <w:r w:rsidR="00D452EC" w:rsidRPr="00935463">
        <w:rPr>
          <w:rFonts w:ascii="Times New Roman" w:hAnsi="Times New Roman"/>
        </w:rPr>
        <w:fldChar w:fldCharType="end"/>
      </w:r>
      <w:r w:rsidR="001B4C95">
        <w:rPr>
          <w:rFonts w:ascii="Times New Roman" w:hAnsi="Times New Roman"/>
        </w:rPr>
        <w:t xml:space="preserve">, </w:t>
      </w:r>
      <w:r w:rsidR="005B4CDB">
        <w:rPr>
          <w:rFonts w:ascii="Times New Roman" w:hAnsi="Times New Roman"/>
        </w:rPr>
        <w:t xml:space="preserve">even if only virtually, </w:t>
      </w:r>
      <w:r w:rsidR="00D452EC" w:rsidRPr="00935463">
        <w:rPr>
          <w:rFonts w:ascii="Times New Roman" w:hAnsi="Times New Roman"/>
        </w:rPr>
        <w:t>particularly</w:t>
      </w:r>
      <w:r w:rsidR="001B4C95">
        <w:rPr>
          <w:rFonts w:ascii="Times New Roman" w:hAnsi="Times New Roman"/>
        </w:rPr>
        <w:t xml:space="preserve"> </w:t>
      </w:r>
      <w:r w:rsidR="00D452EC" w:rsidRPr="00935463">
        <w:rPr>
          <w:rFonts w:ascii="Times New Roman" w:hAnsi="Times New Roman"/>
        </w:rPr>
        <w:t>for those facing barriers to group activities</w:t>
      </w:r>
      <w:r w:rsidR="00D452EC" w:rsidRPr="008967D2">
        <w:rPr>
          <w:rFonts w:ascii="Times New Roman" w:hAnsi="Times New Roman"/>
        </w:rPr>
        <w:t>.</w:t>
      </w:r>
      <w:r w:rsidR="00D452EC">
        <w:rPr>
          <w:rFonts w:ascii="Times New Roman" w:hAnsi="Times New Roman"/>
        </w:rPr>
        <w:t xml:space="preserve"> </w:t>
      </w:r>
      <w:r w:rsidR="00BB0B32">
        <w:rPr>
          <w:rFonts w:ascii="Times New Roman" w:hAnsi="Times New Roman"/>
        </w:rPr>
        <w:t>Second, most w</w:t>
      </w:r>
      <w:r w:rsidR="00BB0B32" w:rsidRPr="00BB0B32">
        <w:rPr>
          <w:rFonts w:ascii="Times New Roman" w:hAnsi="Times New Roman"/>
        </w:rPr>
        <w:t>earable devices</w:t>
      </w:r>
      <w:r w:rsidR="00BB0B32">
        <w:rPr>
          <w:rFonts w:ascii="Times New Roman" w:hAnsi="Times New Roman"/>
        </w:rPr>
        <w:t xml:space="preserve"> are</w:t>
      </w:r>
      <w:r w:rsidR="00BB0B32" w:rsidRPr="00BB0B32">
        <w:rPr>
          <w:rFonts w:ascii="Times New Roman" w:hAnsi="Times New Roman"/>
        </w:rPr>
        <w:t xml:space="preserve"> equipped with </w:t>
      </w:r>
      <w:r w:rsidR="0027056D">
        <w:rPr>
          <w:rFonts w:ascii="Times New Roman" w:hAnsi="Times New Roman"/>
        </w:rPr>
        <w:t>heart rate and blood oxygen</w:t>
      </w:r>
      <w:r w:rsidR="00BB0B32" w:rsidRPr="00BB0B32">
        <w:rPr>
          <w:rFonts w:ascii="Times New Roman" w:hAnsi="Times New Roman"/>
        </w:rPr>
        <w:t xml:space="preserve"> sensors </w:t>
      </w:r>
      <w:r w:rsidR="00BB0B32">
        <w:rPr>
          <w:rFonts w:ascii="Times New Roman" w:hAnsi="Times New Roman"/>
        </w:rPr>
        <w:t xml:space="preserve">that </w:t>
      </w:r>
      <w:r w:rsidR="00BB0B32" w:rsidRPr="00BB0B32">
        <w:rPr>
          <w:rFonts w:ascii="Times New Roman" w:hAnsi="Times New Roman"/>
        </w:rPr>
        <w:t>can monitor vital signs</w:t>
      </w:r>
      <w:r w:rsidR="00BB0B32">
        <w:rPr>
          <w:rFonts w:ascii="Times New Roman" w:hAnsi="Times New Roman"/>
        </w:rPr>
        <w:t>.</w:t>
      </w:r>
      <w:r w:rsidR="00BB0B32" w:rsidRPr="00BB0B32">
        <w:rPr>
          <w:rFonts w:ascii="Times New Roman" w:hAnsi="Times New Roman"/>
        </w:rPr>
        <w:t xml:space="preserve"> In case of emergencies, these </w:t>
      </w:r>
      <w:r w:rsidR="0014658B">
        <w:rPr>
          <w:rFonts w:ascii="Times New Roman" w:hAnsi="Times New Roman"/>
        </w:rPr>
        <w:t>device</w:t>
      </w:r>
      <w:r w:rsidR="00BB0B32" w:rsidRPr="00BB0B32">
        <w:rPr>
          <w:rFonts w:ascii="Times New Roman" w:hAnsi="Times New Roman"/>
        </w:rPr>
        <w:t>s can alert emergency services, providing immediate assistance if the wearer is injured or immobilized after a fall. This feature helps alleviate safety concerns that might otherwise discourage older adults from outdoor walking.</w:t>
      </w:r>
      <w:r w:rsidR="00BB0B32">
        <w:rPr>
          <w:rFonts w:ascii="Times New Roman" w:hAnsi="Times New Roman"/>
        </w:rPr>
        <w:t xml:space="preserve"> Third</w:t>
      </w:r>
      <w:r w:rsidR="00D1345E">
        <w:rPr>
          <w:rFonts w:ascii="Times New Roman" w:hAnsi="Times New Roman"/>
        </w:rPr>
        <w:t xml:space="preserve">, </w:t>
      </w:r>
      <w:r w:rsidR="00BB0B32">
        <w:rPr>
          <w:rFonts w:ascii="Times New Roman" w:hAnsi="Times New Roman"/>
        </w:rPr>
        <w:t>smartphone applications</w:t>
      </w:r>
      <w:r w:rsidR="00BB0B32" w:rsidRPr="00BB0B32">
        <w:rPr>
          <w:rFonts w:ascii="Times New Roman" w:hAnsi="Times New Roman"/>
        </w:rPr>
        <w:t xml:space="preserve"> paired with wearable devices offer users the chance to </w:t>
      </w:r>
      <w:r w:rsidR="00BB0B32">
        <w:rPr>
          <w:rFonts w:ascii="Times New Roman" w:hAnsi="Times New Roman"/>
        </w:rPr>
        <w:t xml:space="preserve">set up and </w:t>
      </w:r>
      <w:r w:rsidR="00BB0B32" w:rsidRPr="00BB0B32">
        <w:rPr>
          <w:rFonts w:ascii="Times New Roman" w:hAnsi="Times New Roman"/>
        </w:rPr>
        <w:t xml:space="preserve">engage in weekly challenges and competitions, earning badges and </w:t>
      </w:r>
      <w:r w:rsidR="00BB0B32" w:rsidRPr="00935463">
        <w:rPr>
          <w:rFonts w:ascii="Times New Roman" w:hAnsi="Times New Roman"/>
        </w:rPr>
        <w:t>rewards upon completion. This feature can boost motivation and accountability, encouraging users to maintain their physical activity levels, including walking. Also, s</w:t>
      </w:r>
      <w:r w:rsidR="00D452EC" w:rsidRPr="00935463">
        <w:rPr>
          <w:rFonts w:ascii="Times New Roman" w:hAnsi="Times New Roman"/>
        </w:rPr>
        <w:t xml:space="preserve">everal health insurance providers currently offer discounts on </w:t>
      </w:r>
      <w:r w:rsidR="00D452EC" w:rsidRPr="00935463">
        <w:rPr>
          <w:rFonts w:ascii="Times New Roman" w:hAnsi="Times New Roman"/>
        </w:rPr>
        <w:lastRenderedPageBreak/>
        <w:t>premiums for meeting physical activity goals</w:t>
      </w:r>
      <w:r w:rsidR="00BB0B32" w:rsidRPr="00935463">
        <w:rPr>
          <w:rFonts w:ascii="Times New Roman" w:hAnsi="Times New Roman"/>
        </w:rPr>
        <w:t>.</w:t>
      </w:r>
      <w:r w:rsidR="00D452EC" w:rsidRPr="00935463">
        <w:rPr>
          <w:rFonts w:ascii="Times New Roman" w:hAnsi="Times New Roman"/>
        </w:rPr>
        <w:t xml:space="preserve"> For instance, some insurance companies provide policyholders with up to $100 annually for achieving daily step targets when syncing a step tracker with their mobile app</w:t>
      </w:r>
      <w:r w:rsidR="0027056D" w:rsidRPr="00935463">
        <w:rPr>
          <w:rFonts w:ascii="Times New Roman" w:hAnsi="Times New Roman"/>
        </w:rPr>
        <w:t>lication</w:t>
      </w:r>
      <w:r w:rsidR="00D452EC" w:rsidRPr="00935463">
        <w:rPr>
          <w:rFonts w:ascii="Times New Roman" w:hAnsi="Times New Roman"/>
        </w:rPr>
        <w:t xml:space="preserve"> (see </w:t>
      </w:r>
      <w:r w:rsidR="00D452EC" w:rsidRPr="00935463">
        <w:rPr>
          <w:rFonts w:ascii="Times New Roman" w:hAnsi="Times New Roman"/>
        </w:rPr>
        <w:fldChar w:fldCharType="begin"/>
      </w:r>
      <w:r w:rsidR="00D452EC" w:rsidRPr="00935463">
        <w:rPr>
          <w:rFonts w:ascii="Times New Roman" w:hAnsi="Times New Roman"/>
        </w:rPr>
        <w:instrText xml:space="preserve"> ADDIN ZOTERO_ITEM CSL_CITATION {"citationID":"NrTlws1q","properties":{"formattedCitation":"(Bengfort, 2023)","plainCitation":"(Bengfort, 2023)","dontUpdate":true,"noteIndex":0},"citationItems":[{"id":1165,"uris":["http://zotero.org/users/10132210/items/4574M2IC"],"itemData":{"id":1165,"type":"post-weblog","title":"What are health insurance rewards programs, and how do they impact HRAs?","URL":"https://www.peoplekeep.com/blog/what-are-health-insurance-rewards-programs","author":[{"family":"Bengfort","given":"Holly"}],"accessed":{"date-parts":[["2024",6,1]]},"issued":{"date-parts":[["2023"]]}}}],"schema":"https://github.com/citation-style-language/schema/raw/master/csl-citation.json"} </w:instrText>
      </w:r>
      <w:r w:rsidR="00D452EC" w:rsidRPr="00935463">
        <w:rPr>
          <w:rFonts w:ascii="Times New Roman" w:hAnsi="Times New Roman"/>
        </w:rPr>
        <w:fldChar w:fldCharType="separate"/>
      </w:r>
      <w:r w:rsidR="00D452EC" w:rsidRPr="00935463">
        <w:rPr>
          <w:rFonts w:ascii="Times New Roman" w:hAnsi="Times New Roman"/>
        </w:rPr>
        <w:t>Bengfort, 2023)</w:t>
      </w:r>
      <w:r w:rsidR="00D452EC" w:rsidRPr="00935463">
        <w:rPr>
          <w:rFonts w:ascii="Times New Roman" w:hAnsi="Times New Roman"/>
        </w:rPr>
        <w:fldChar w:fldCharType="end"/>
      </w:r>
      <w:r w:rsidR="00D452EC" w:rsidRPr="00935463">
        <w:rPr>
          <w:rFonts w:ascii="Times New Roman" w:hAnsi="Times New Roman"/>
        </w:rPr>
        <w:t>. Similarly</w:t>
      </w:r>
      <w:r w:rsidR="001B4C95">
        <w:rPr>
          <w:rFonts w:ascii="Times New Roman" w:hAnsi="Times New Roman"/>
        </w:rPr>
        <w:t>,</w:t>
      </w:r>
      <w:r w:rsidR="00D452EC" w:rsidRPr="00935463">
        <w:rPr>
          <w:rFonts w:ascii="Times New Roman" w:hAnsi="Times New Roman"/>
        </w:rPr>
        <w:t xml:space="preserve"> partnerships with local</w:t>
      </w:r>
      <w:r w:rsidR="00D452EC" w:rsidRPr="00935463">
        <w:rPr>
          <w:rFonts w:ascii="Times New Roman" w:hAnsi="Times New Roman" w:hint="eastAsia"/>
        </w:rPr>
        <w:t xml:space="preserve"> or online</w:t>
      </w:r>
      <w:r w:rsidR="00D452EC" w:rsidRPr="00935463">
        <w:rPr>
          <w:rFonts w:ascii="Times New Roman" w:hAnsi="Times New Roman"/>
        </w:rPr>
        <w:t xml:space="preserve"> businesses </w:t>
      </w:r>
      <w:r w:rsidR="001B4C95">
        <w:rPr>
          <w:rFonts w:ascii="Times New Roman" w:hAnsi="Times New Roman"/>
        </w:rPr>
        <w:t>(</w:t>
      </w:r>
      <w:r w:rsidR="00D452EC" w:rsidRPr="00935463">
        <w:rPr>
          <w:rFonts w:ascii="Times New Roman" w:hAnsi="Times New Roman"/>
        </w:rPr>
        <w:t>such as sports stores</w:t>
      </w:r>
      <w:r w:rsidR="001B4C95">
        <w:rPr>
          <w:rFonts w:ascii="Times New Roman" w:hAnsi="Times New Roman"/>
        </w:rPr>
        <w:t>)</w:t>
      </w:r>
      <w:r w:rsidR="00D452EC" w:rsidRPr="00935463">
        <w:rPr>
          <w:rFonts w:ascii="Times New Roman" w:hAnsi="Times New Roman"/>
        </w:rPr>
        <w:t xml:space="preserve"> </w:t>
      </w:r>
      <w:r w:rsidR="001B4C95">
        <w:rPr>
          <w:rFonts w:ascii="Times New Roman" w:hAnsi="Times New Roman"/>
        </w:rPr>
        <w:t xml:space="preserve">to </w:t>
      </w:r>
      <w:r w:rsidR="00D452EC" w:rsidRPr="00935463">
        <w:rPr>
          <w:rFonts w:ascii="Times New Roman" w:hAnsi="Times New Roman"/>
        </w:rPr>
        <w:t>offer</w:t>
      </w:r>
      <w:r w:rsidR="00D452EC" w:rsidRPr="00935463">
        <w:rPr>
          <w:rFonts w:ascii="Times New Roman" w:hAnsi="Times New Roman" w:hint="eastAsia"/>
        </w:rPr>
        <w:t xml:space="preserve"> rewards </w:t>
      </w:r>
      <w:r w:rsidR="00D452EC" w:rsidRPr="00935463">
        <w:rPr>
          <w:rFonts w:ascii="Times New Roman" w:hAnsi="Times New Roman"/>
        </w:rPr>
        <w:t>to</w:t>
      </w:r>
      <w:r w:rsidR="00D452EC" w:rsidRPr="00935463">
        <w:rPr>
          <w:rFonts w:ascii="Times New Roman" w:hAnsi="Times New Roman" w:hint="eastAsia"/>
        </w:rPr>
        <w:t xml:space="preserve"> individuals </w:t>
      </w:r>
      <w:r w:rsidR="00D452EC" w:rsidRPr="00935463">
        <w:rPr>
          <w:rFonts w:ascii="Times New Roman" w:hAnsi="Times New Roman"/>
        </w:rPr>
        <w:t xml:space="preserve">who </w:t>
      </w:r>
      <w:r w:rsidR="00D452EC" w:rsidRPr="00935463">
        <w:rPr>
          <w:rFonts w:ascii="Times New Roman" w:hAnsi="Times New Roman" w:hint="eastAsia"/>
        </w:rPr>
        <w:t xml:space="preserve">meet </w:t>
      </w:r>
      <w:r w:rsidR="00D452EC" w:rsidRPr="00935463">
        <w:rPr>
          <w:rFonts w:ascii="Times New Roman" w:hAnsi="Times New Roman"/>
        </w:rPr>
        <w:t>a certain</w:t>
      </w:r>
      <w:r w:rsidR="00D452EC" w:rsidRPr="00935463">
        <w:rPr>
          <w:rFonts w:ascii="Times New Roman" w:hAnsi="Times New Roman" w:hint="eastAsia"/>
        </w:rPr>
        <w:t xml:space="preserve"> number of </w:t>
      </w:r>
      <w:r w:rsidR="00D452EC" w:rsidRPr="00935463">
        <w:rPr>
          <w:rFonts w:ascii="Times New Roman" w:hAnsi="Times New Roman"/>
        </w:rPr>
        <w:t xml:space="preserve">daily </w:t>
      </w:r>
      <w:r w:rsidR="00D452EC" w:rsidRPr="00935463">
        <w:rPr>
          <w:rFonts w:ascii="Times New Roman" w:hAnsi="Times New Roman" w:hint="eastAsia"/>
        </w:rPr>
        <w:t>steps or</w:t>
      </w:r>
      <w:r w:rsidR="00D452EC" w:rsidRPr="00935463">
        <w:rPr>
          <w:rFonts w:ascii="Times New Roman" w:hAnsi="Times New Roman"/>
        </w:rPr>
        <w:t xml:space="preserve"> who</w:t>
      </w:r>
      <w:r w:rsidR="00D452EC" w:rsidRPr="00935463">
        <w:rPr>
          <w:rFonts w:ascii="Times New Roman" w:hAnsi="Times New Roman" w:hint="eastAsia"/>
        </w:rPr>
        <w:t xml:space="preserve"> visit scenic outdoor </w:t>
      </w:r>
      <w:r w:rsidR="00062FFF" w:rsidRPr="00935463">
        <w:rPr>
          <w:rFonts w:ascii="Times New Roman" w:hAnsi="Times New Roman"/>
        </w:rPr>
        <w:t>sites</w:t>
      </w:r>
      <w:r w:rsidR="00062FFF" w:rsidRPr="00935463">
        <w:rPr>
          <w:rFonts w:ascii="Times New Roman" w:hAnsi="Times New Roman" w:hint="eastAsia"/>
        </w:rPr>
        <w:t xml:space="preserve"> </w:t>
      </w:r>
      <w:r w:rsidR="00D452EC" w:rsidRPr="00935463">
        <w:rPr>
          <w:rFonts w:ascii="Times New Roman" w:hAnsi="Times New Roman"/>
        </w:rPr>
        <w:fldChar w:fldCharType="begin"/>
      </w:r>
      <w:r w:rsidR="00D452EC" w:rsidRPr="00935463">
        <w:rPr>
          <w:rFonts w:ascii="Times New Roman" w:hAnsi="Times New Roman"/>
        </w:rPr>
        <w:instrText xml:space="preserve"> ADDIN ZOTERO_ITEM CSL_CITATION {"citationID":"aL9T5Rtm","properties":{"formattedCitation":"(Kim et al., 2024)","plainCitation":"(Kim et al., 2024)","noteIndex":0},"citationItems":[{"id":1167,"uris":["http://zotero.org/users/10132210/items/483PETJC"],"itemData":{"id":1167,"type":"article-journal","abstract":"South Korea is promoting digital healthcare services in the public sector. One notable initiative is the “artificial intelligence and the internet of things (AI–IoT)-based healthcare project for senior citizens”, which was implemented by the Korea Health Promotion Institute (KHPI). This project utilized an IoT-based digital healthcare service that integrates information technology and screen-based AI speaker functions. Services through this project are intended for senior citizens aged 65 years (or older) who face challenges in visiting public healthcare institutions owing to limitations on outdoor activities, especially in the post-coronavirus 2019 era. This article shares the recent outcomes of this project and outlines the mid-to-long-term development strategies for this style of South Korean digital healthcare initiatives.","container-title":"Healthcare","DOI":"10.3390/healthcare12020281","ISSN":"2227-9032","issue":"2","journalAbbreviation":"Healthcare","language":"en","license":"https://creativecommons.org/licenses/by/4.0/","page":"281","source":"DOI.org (Crossref)","title":"Present and Future of AI-IoT-Based Healthcare Services for Senior Citizens in Local Communities: A Review of a South Korean Government Digital Healthcare Initiatives","title-short":"Present and Future of AI-IoT-Based Healthcare Services for Senior Citizens in Local Communities","volume":"12","author":[{"family":"Kim","given":"Dong-Jin"},{"family":"Lee","given":"Yun-Su"},{"family":"Jeon","given":"Eun-Raye"},{"family":"Kim","given":"Kwang Joon"}],"issued":{"date-parts":[["2024",1,22]]}}}],"schema":"https://github.com/citation-style-language/schema/raw/master/csl-citation.json"} </w:instrText>
      </w:r>
      <w:r w:rsidR="00D452EC" w:rsidRPr="00935463">
        <w:rPr>
          <w:rFonts w:ascii="Times New Roman" w:hAnsi="Times New Roman"/>
        </w:rPr>
        <w:fldChar w:fldCharType="separate"/>
      </w:r>
      <w:r w:rsidR="00D452EC" w:rsidRPr="00935463">
        <w:rPr>
          <w:rFonts w:ascii="Times New Roman" w:hAnsi="Times New Roman"/>
        </w:rPr>
        <w:t>(Kim et al., 2024)</w:t>
      </w:r>
      <w:r w:rsidR="00D452EC" w:rsidRPr="00935463">
        <w:rPr>
          <w:rFonts w:ascii="Times New Roman" w:hAnsi="Times New Roman"/>
        </w:rPr>
        <w:fldChar w:fldCharType="end"/>
      </w:r>
      <w:r w:rsidR="00D452EC" w:rsidRPr="00935463">
        <w:rPr>
          <w:rFonts w:ascii="Times New Roman" w:hAnsi="Times New Roman" w:hint="eastAsia"/>
        </w:rPr>
        <w:t xml:space="preserve"> can </w:t>
      </w:r>
      <w:r w:rsidR="001B4C95">
        <w:rPr>
          <w:rFonts w:ascii="Times New Roman" w:hAnsi="Times New Roman"/>
        </w:rPr>
        <w:t xml:space="preserve">serve as a </w:t>
      </w:r>
      <w:r w:rsidR="00D452EC" w:rsidRPr="00935463">
        <w:rPr>
          <w:rFonts w:ascii="Times New Roman" w:hAnsi="Times New Roman"/>
        </w:rPr>
        <w:t>tangible motivator for older adu</w:t>
      </w:r>
      <w:r w:rsidR="001B4C95">
        <w:rPr>
          <w:rFonts w:ascii="Times New Roman" w:hAnsi="Times New Roman"/>
        </w:rPr>
        <w:t>lts</w:t>
      </w:r>
      <w:r w:rsidR="00D452EC" w:rsidRPr="00935463">
        <w:rPr>
          <w:rFonts w:ascii="Times New Roman" w:hAnsi="Times New Roman"/>
        </w:rPr>
        <w:t>.</w:t>
      </w:r>
      <w:r w:rsidR="00BB0B32" w:rsidRPr="00935463">
        <w:rPr>
          <w:rFonts w:ascii="Times New Roman" w:hAnsi="Times New Roman"/>
        </w:rPr>
        <w:t xml:space="preserve"> </w:t>
      </w:r>
      <w:r w:rsidR="001B4C95">
        <w:rPr>
          <w:rFonts w:ascii="Times New Roman" w:hAnsi="Times New Roman"/>
        </w:rPr>
        <w:t xml:space="preserve">However, also to note is that </w:t>
      </w:r>
      <w:r w:rsidR="00BB0B32" w:rsidRPr="00935463">
        <w:rPr>
          <w:rFonts w:ascii="Times New Roman" w:hAnsi="Times New Roman"/>
        </w:rPr>
        <w:t xml:space="preserve">only a quarter of seniors </w:t>
      </w:r>
      <w:r w:rsidR="001B4C95">
        <w:rPr>
          <w:rFonts w:ascii="Times New Roman" w:hAnsi="Times New Roman"/>
        </w:rPr>
        <w:t xml:space="preserve">in the U.S. are estimated to </w:t>
      </w:r>
      <w:r w:rsidR="00BB0B32" w:rsidRPr="00935463">
        <w:rPr>
          <w:rFonts w:ascii="Times New Roman" w:hAnsi="Times New Roman"/>
        </w:rPr>
        <w:t>wear</w:t>
      </w:r>
      <w:r w:rsidR="001B4C95">
        <w:rPr>
          <w:rFonts w:ascii="Times New Roman" w:hAnsi="Times New Roman"/>
        </w:rPr>
        <w:t xml:space="preserve"> </w:t>
      </w:r>
      <w:r w:rsidR="00BB0B32" w:rsidRPr="00935463">
        <w:rPr>
          <w:rFonts w:ascii="Times New Roman" w:hAnsi="Times New Roman"/>
        </w:rPr>
        <w:t>fitness devices</w:t>
      </w:r>
      <w:r w:rsidR="001B4C95">
        <w:rPr>
          <w:rFonts w:ascii="Times New Roman" w:eastAsiaTheme="minorEastAsia" w:hAnsi="Times New Roman"/>
          <w:lang w:eastAsia="ko-KR"/>
        </w:rPr>
        <w:t xml:space="preserve"> </w:t>
      </w:r>
      <w:r w:rsidR="00177866" w:rsidRPr="00935463">
        <w:rPr>
          <w:rFonts w:ascii="Times New Roman" w:eastAsiaTheme="minorEastAsia" w:hAnsi="Times New Roman"/>
          <w:lang w:eastAsia="ko-KR"/>
        </w:rPr>
        <w:fldChar w:fldCharType="begin"/>
      </w:r>
      <w:r w:rsidR="00177866" w:rsidRPr="00935463">
        <w:rPr>
          <w:rFonts w:ascii="Times New Roman" w:eastAsiaTheme="minorEastAsia" w:hAnsi="Times New Roman"/>
          <w:lang w:eastAsia="ko-KR"/>
        </w:rPr>
        <w:instrText xml:space="preserve"> ADDIN ZOTERO_ITEM CSL_CITATION {"citationID":"RHmjuyIL","properties":{"formattedCitation":"(Morning Consult, 2023)","plainCitation":"(Morning Consult, 2023)","noteIndex":0},"citationItems":[{"id":1604,"uris":["http://zotero.org/users/10132210/items/JDCWMQ3Y"],"itemData":{"id":1604,"type":"dataset","title":"Use of wearable fitness or wellness technologies in the United States as of 2023, by age","URL":"https://www.statista.com/statistics/1424304/use-of-fitness-wearables-in-the-us-by-age/","author":[{"family":"Morning Consult","given":""}],"accessed":{"date-parts":[["2024",6,22]]},"issued":{"date-parts":[["2023"]]}}}],"schema":"https://github.com/citation-style-language/schema/raw/master/csl-citation.json"} </w:instrText>
      </w:r>
      <w:r w:rsidR="00177866" w:rsidRPr="00935463">
        <w:rPr>
          <w:rFonts w:ascii="Times New Roman" w:eastAsiaTheme="minorEastAsia" w:hAnsi="Times New Roman"/>
          <w:lang w:eastAsia="ko-KR"/>
        </w:rPr>
        <w:fldChar w:fldCharType="separate"/>
      </w:r>
      <w:r w:rsidR="00177866" w:rsidRPr="00935463">
        <w:rPr>
          <w:rFonts w:ascii="Times New Roman" w:hAnsi="Times New Roman"/>
        </w:rPr>
        <w:t>(Morning Consult, 2023)</w:t>
      </w:r>
      <w:r w:rsidR="00177866" w:rsidRPr="00935463">
        <w:rPr>
          <w:rFonts w:ascii="Times New Roman" w:eastAsiaTheme="minorEastAsia" w:hAnsi="Times New Roman"/>
          <w:lang w:eastAsia="ko-KR"/>
        </w:rPr>
        <w:fldChar w:fldCharType="end"/>
      </w:r>
      <w:r w:rsidR="00BB0B32" w:rsidRPr="00935463">
        <w:rPr>
          <w:rFonts w:ascii="Times New Roman" w:hAnsi="Times New Roman"/>
        </w:rPr>
        <w:t xml:space="preserve">. Implementing programs and services that offer educational resources and the opportunity to rent or borrow devices can further encourage their use among older adults. Additionally, manufacturers </w:t>
      </w:r>
      <w:r w:rsidR="001B4C95">
        <w:rPr>
          <w:rFonts w:ascii="Times New Roman" w:hAnsi="Times New Roman"/>
        </w:rPr>
        <w:t xml:space="preserve">of activity-tracking devices </w:t>
      </w:r>
      <w:r w:rsidR="00BB0B32" w:rsidRPr="00935463">
        <w:rPr>
          <w:rFonts w:ascii="Times New Roman" w:hAnsi="Times New Roman"/>
        </w:rPr>
        <w:t>should consider the needs of older adults, such as ensuring that the display screens</w:t>
      </w:r>
      <w:r w:rsidR="00BB0B32" w:rsidRPr="00BB0B32">
        <w:rPr>
          <w:rFonts w:ascii="Times New Roman" w:hAnsi="Times New Roman"/>
        </w:rPr>
        <w:t xml:space="preserve"> are large and well-lit for eas</w:t>
      </w:r>
      <w:r w:rsidR="001B4C95">
        <w:rPr>
          <w:rFonts w:ascii="Times New Roman" w:hAnsi="Times New Roman"/>
        </w:rPr>
        <w:t xml:space="preserve">y </w:t>
      </w:r>
      <w:r w:rsidR="00BB0B32" w:rsidRPr="00BB0B32">
        <w:rPr>
          <w:rFonts w:ascii="Times New Roman" w:hAnsi="Times New Roman"/>
        </w:rPr>
        <w:t>readability</w:t>
      </w:r>
      <w:r w:rsidR="00BB0B32">
        <w:rPr>
          <w:rFonts w:ascii="Times New Roman" w:hAnsi="Times New Roman"/>
        </w:rPr>
        <w:t>.</w:t>
      </w:r>
    </w:p>
    <w:p w14:paraId="65EBF970" w14:textId="57618E33" w:rsidR="00BB0B32" w:rsidRDefault="00BB0B32" w:rsidP="00662E40">
      <w:pPr>
        <w:ind w:firstLine="720"/>
        <w:jc w:val="both"/>
        <w:rPr>
          <w:rFonts w:ascii="Times New Roman" w:eastAsiaTheme="minorEastAsia" w:hAnsi="Times New Roman"/>
          <w:lang w:eastAsia="ko-KR"/>
        </w:rPr>
      </w:pPr>
      <w:r>
        <w:rPr>
          <w:rFonts w:ascii="Times New Roman" w:eastAsiaTheme="minorEastAsia" w:hAnsi="Times New Roman" w:hint="eastAsia"/>
          <w:lang w:eastAsia="ko-KR"/>
        </w:rPr>
        <w:t>Another emerging technology</w:t>
      </w:r>
      <w:r>
        <w:rPr>
          <w:rFonts w:ascii="Times New Roman" w:eastAsiaTheme="minorEastAsia" w:hAnsi="Times New Roman"/>
          <w:lang w:eastAsia="ko-KR"/>
        </w:rPr>
        <w:t xml:space="preserve"> with</w:t>
      </w:r>
      <w:r>
        <w:rPr>
          <w:rFonts w:ascii="Times New Roman" w:eastAsiaTheme="minorEastAsia" w:hAnsi="Times New Roman" w:hint="eastAsia"/>
          <w:lang w:eastAsia="ko-KR"/>
        </w:rPr>
        <w:t xml:space="preserve"> the potential to improve </w:t>
      </w:r>
      <w:r>
        <w:rPr>
          <w:rFonts w:ascii="Times New Roman" w:eastAsiaTheme="minorEastAsia" w:hAnsi="Times New Roman"/>
          <w:lang w:eastAsia="ko-KR"/>
        </w:rPr>
        <w:t>walking habits among</w:t>
      </w:r>
      <w:r>
        <w:rPr>
          <w:rFonts w:ascii="Times New Roman" w:eastAsiaTheme="minorEastAsia" w:hAnsi="Times New Roman" w:hint="eastAsia"/>
          <w:lang w:eastAsia="ko-KR"/>
        </w:rPr>
        <w:t xml:space="preserve"> older adults is Intelligent Conversational </w:t>
      </w:r>
      <w:r w:rsidR="0027056D">
        <w:rPr>
          <w:rFonts w:ascii="Times New Roman" w:eastAsiaTheme="minorEastAsia" w:hAnsi="Times New Roman"/>
          <w:lang w:eastAsia="ko-KR"/>
        </w:rPr>
        <w:t xml:space="preserve">voice </w:t>
      </w:r>
      <w:r>
        <w:rPr>
          <w:rFonts w:ascii="Times New Roman" w:eastAsiaTheme="minorEastAsia" w:hAnsi="Times New Roman" w:hint="eastAsia"/>
          <w:lang w:eastAsia="ko-KR"/>
        </w:rPr>
        <w:t>assistants (ICV</w:t>
      </w:r>
      <w:r w:rsidR="00295663">
        <w:rPr>
          <w:rFonts w:ascii="Times New Roman" w:eastAsiaTheme="minorEastAsia" w:hAnsi="Times New Roman"/>
          <w:lang w:eastAsia="ko-KR"/>
        </w:rPr>
        <w:t>s</w:t>
      </w:r>
      <w:r>
        <w:rPr>
          <w:rFonts w:ascii="Times New Roman" w:eastAsiaTheme="minorEastAsia" w:hAnsi="Times New Roman" w:hint="eastAsia"/>
          <w:lang w:eastAsia="ko-KR"/>
        </w:rPr>
        <w:t>), such as Siri on</w:t>
      </w:r>
      <w:r>
        <w:rPr>
          <w:rFonts w:ascii="Times New Roman" w:eastAsiaTheme="minorEastAsia" w:hAnsi="Times New Roman"/>
          <w:lang w:eastAsia="ko-KR"/>
        </w:rPr>
        <w:t xml:space="preserve"> the</w:t>
      </w:r>
      <w:r>
        <w:rPr>
          <w:rFonts w:ascii="Times New Roman" w:eastAsiaTheme="minorEastAsia" w:hAnsi="Times New Roman" w:hint="eastAsia"/>
          <w:lang w:eastAsia="ko-KR"/>
        </w:rPr>
        <w:t xml:space="preserve"> iPhone. </w:t>
      </w:r>
      <w:r w:rsidRPr="00BB0B32">
        <w:rPr>
          <w:rFonts w:ascii="Times New Roman" w:eastAsiaTheme="minorEastAsia" w:hAnsi="Times New Roman"/>
          <w:lang w:eastAsia="ko-KR"/>
        </w:rPr>
        <w:t xml:space="preserve">These ICVs </w:t>
      </w:r>
      <w:r w:rsidRPr="00935463">
        <w:rPr>
          <w:rFonts w:ascii="Times New Roman" w:eastAsiaTheme="minorEastAsia" w:hAnsi="Times New Roman"/>
          <w:lang w:eastAsia="ko-KR"/>
        </w:rPr>
        <w:t xml:space="preserve">provide real-time, voice-activated support, making them particularly beneficial for older adults who may be less familiar with technology or face challenges </w:t>
      </w:r>
      <w:r w:rsidR="0027056D" w:rsidRPr="00935463">
        <w:rPr>
          <w:rFonts w:ascii="Times New Roman" w:eastAsiaTheme="minorEastAsia" w:hAnsi="Times New Roman"/>
          <w:lang w:eastAsia="ko-KR"/>
        </w:rPr>
        <w:t xml:space="preserve">in navigating </w:t>
      </w:r>
      <w:r w:rsidR="005B4CDB">
        <w:rPr>
          <w:rFonts w:ascii="Times New Roman" w:eastAsiaTheme="minorEastAsia" w:hAnsi="Times New Roman"/>
          <w:lang w:eastAsia="ko-KR"/>
        </w:rPr>
        <w:t>screen-based</w:t>
      </w:r>
      <w:r w:rsidRPr="00935463">
        <w:rPr>
          <w:rFonts w:ascii="Times New Roman" w:eastAsiaTheme="minorEastAsia" w:hAnsi="Times New Roman"/>
          <w:lang w:eastAsia="ko-KR"/>
        </w:rPr>
        <w:t xml:space="preserve"> interfaces (</w:t>
      </w:r>
      <w:r w:rsidR="0027056D" w:rsidRPr="00935463">
        <w:rPr>
          <w:rFonts w:ascii="Times New Roman" w:eastAsiaTheme="minorEastAsia" w:hAnsi="Times New Roman"/>
          <w:lang w:eastAsia="ko-KR"/>
        </w:rPr>
        <w:t xml:space="preserve">see </w:t>
      </w:r>
      <w:r w:rsidRPr="00935463">
        <w:rPr>
          <w:rFonts w:ascii="Times New Roman" w:eastAsiaTheme="minorEastAsia" w:hAnsi="Times New Roman"/>
          <w:lang w:eastAsia="ko-KR"/>
        </w:rPr>
        <w:fldChar w:fldCharType="begin"/>
      </w:r>
      <w:r w:rsidR="00714083" w:rsidRPr="00935463">
        <w:rPr>
          <w:rFonts w:ascii="Times New Roman" w:eastAsiaTheme="minorEastAsia" w:hAnsi="Times New Roman"/>
          <w:lang w:eastAsia="ko-KR"/>
        </w:rPr>
        <w:instrText xml:space="preserve"> ADDIN ZOTERO_ITEM CSL_CITATION {"citationID":"7EsvjEb2","properties":{"formattedCitation":"(Bokolo Jnr, 2024)","plainCitation":"(Bokolo Jnr, 2024)","dontUpdate":true,"noteIndex":0},"citationItems":[{"id":1214,"uris":["http://zotero.org/users/10132210/items/3SWHSCFL"],"itemData":{"id":1214,"type":"article-journal","abstract":"Intelligent Conversational Voice-assistants (ICV) can interpret the speech of human and respond back using synthesized voices and are increasingly employed for interacting with different applications. ICV offers promising tool to address the increasing mobility accessibility challenge faced by older people. Yet, irrespective of the increased ageing population, studies that employed ICV to improve the mobil­ ity, walkability, and wayfinding of older people are scarce. This is because the development of ICV in the mobility domain presents several designs, technical, and linguistic challenges. A systematic litera­ ture review was adopted grounded on secondary data from the literature and descriptive analysis was employed. Grounded on user-centred design perspective based on the “ability-based design frame­ work” and “ISO 9241-110 framework for ergonomics of human-system interaction.” Therefore, this study describes the requirement specifications needed to design an ICV suitable for supporting the mobility behavior of older people. Findings from this paper identifies the perceived factors that influ­ ences the use of ICV by older people. Additionally, findings from this study discusses how ICV that simulates human-like behavior can provide personalized mobility, walkability, and wayfinding guide when older people walk in cities. This study provides recommendations for the implementation of a user-centred ICV for safe, independent, accessible mobility for older people in urban environment.","container-title":"International Journal of Human–Computer Interaction","DOI":"10.1080/10447318.2024.2344145","ISSN":"1044-7318, 1532-7590","journalAbbreviation":"International Journal of Human–Computer Interaction","language":"en","page":"1-22","source":"DOI.org (Crossref)","title":"Examining the Use of Intelligent Conversational Voice-Assistants for Improved Mobility Behavior of Older Adults in Smart Cities","author":[{"family":"Bokolo Jnr","given":"Anthony"}],"issued":{"date-parts":[["2024",4,24]]}}}],"schema":"https://github.com/citation-style-language/schema/raw/master/csl-citation.json"} </w:instrText>
      </w:r>
      <w:r w:rsidRPr="00935463">
        <w:rPr>
          <w:rFonts w:ascii="Times New Roman" w:eastAsiaTheme="minorEastAsia" w:hAnsi="Times New Roman"/>
          <w:lang w:eastAsia="ko-KR"/>
        </w:rPr>
        <w:fldChar w:fldCharType="separate"/>
      </w:r>
      <w:r w:rsidRPr="00935463">
        <w:rPr>
          <w:rFonts w:ascii="Times New Roman" w:hAnsi="Times New Roman"/>
        </w:rPr>
        <w:t>Bokolo Jnr</w:t>
      </w:r>
      <w:r w:rsidR="0027056D" w:rsidRPr="00935463">
        <w:rPr>
          <w:rFonts w:ascii="Times New Roman" w:hAnsi="Times New Roman"/>
        </w:rPr>
        <w:t xml:space="preserve">, </w:t>
      </w:r>
      <w:r w:rsidRPr="00935463">
        <w:rPr>
          <w:rFonts w:ascii="Times New Roman" w:hAnsi="Times New Roman"/>
        </w:rPr>
        <w:t>2024)</w:t>
      </w:r>
      <w:r w:rsidRPr="00935463">
        <w:rPr>
          <w:rFonts w:ascii="Times New Roman" w:eastAsiaTheme="minorEastAsia" w:hAnsi="Times New Roman"/>
          <w:lang w:eastAsia="ko-KR"/>
        </w:rPr>
        <w:fldChar w:fldCharType="end"/>
      </w:r>
      <w:r w:rsidRPr="00935463">
        <w:rPr>
          <w:rFonts w:ascii="Times New Roman" w:eastAsiaTheme="minorEastAsia" w:hAnsi="Times New Roman"/>
          <w:lang w:eastAsia="ko-KR"/>
        </w:rPr>
        <w:t xml:space="preserve">. </w:t>
      </w:r>
      <w:r w:rsidR="005B4CDB">
        <w:rPr>
          <w:rFonts w:ascii="Times New Roman" w:eastAsiaTheme="minorEastAsia" w:hAnsi="Times New Roman"/>
          <w:lang w:eastAsia="ko-KR"/>
        </w:rPr>
        <w:t xml:space="preserve">ICVs can promote walking </w:t>
      </w:r>
      <w:r w:rsidRPr="00935463">
        <w:rPr>
          <w:rFonts w:ascii="Times New Roman" w:eastAsiaTheme="minorEastAsia" w:hAnsi="Times New Roman"/>
          <w:lang w:eastAsia="ko-KR"/>
        </w:rPr>
        <w:t xml:space="preserve">through two primary functions. </w:t>
      </w:r>
      <w:r w:rsidR="001B4C95">
        <w:rPr>
          <w:rFonts w:ascii="Times New Roman" w:eastAsiaTheme="minorEastAsia" w:hAnsi="Times New Roman"/>
          <w:lang w:eastAsia="ko-KR"/>
        </w:rPr>
        <w:t xml:space="preserve">First, </w:t>
      </w:r>
      <w:r w:rsidRPr="00935463">
        <w:rPr>
          <w:rFonts w:ascii="Times New Roman" w:eastAsiaTheme="minorEastAsia" w:hAnsi="Times New Roman"/>
          <w:lang w:eastAsia="ko-KR"/>
        </w:rPr>
        <w:t xml:space="preserve">ICVs </w:t>
      </w:r>
      <w:r w:rsidR="001B4C95">
        <w:rPr>
          <w:rFonts w:ascii="Times New Roman" w:eastAsiaTheme="minorEastAsia" w:hAnsi="Times New Roman"/>
          <w:lang w:eastAsia="ko-KR"/>
        </w:rPr>
        <w:t xml:space="preserve">can </w:t>
      </w:r>
      <w:r w:rsidRPr="00935463">
        <w:rPr>
          <w:rFonts w:ascii="Times New Roman" w:eastAsiaTheme="minorEastAsia" w:hAnsi="Times New Roman"/>
          <w:lang w:eastAsia="ko-KR"/>
        </w:rPr>
        <w:t>assist users in finding and navigating safe</w:t>
      </w:r>
      <w:r w:rsidR="001B4C95">
        <w:rPr>
          <w:rFonts w:ascii="Times New Roman" w:eastAsiaTheme="minorEastAsia" w:hAnsi="Times New Roman"/>
          <w:lang w:eastAsia="ko-KR"/>
        </w:rPr>
        <w:t xml:space="preserve"> and </w:t>
      </w:r>
      <w:r w:rsidRPr="00935463">
        <w:rPr>
          <w:rFonts w:ascii="Times New Roman" w:eastAsiaTheme="minorEastAsia" w:hAnsi="Times New Roman"/>
          <w:lang w:eastAsia="ko-KR"/>
        </w:rPr>
        <w:t>walkable routes</w:t>
      </w:r>
      <w:r w:rsidR="001B4C95">
        <w:rPr>
          <w:rFonts w:ascii="Times New Roman" w:eastAsiaTheme="minorEastAsia" w:hAnsi="Times New Roman"/>
          <w:lang w:eastAsia="ko-KR"/>
        </w:rPr>
        <w:t xml:space="preserve">, thereby </w:t>
      </w:r>
      <w:r w:rsidRPr="00935463">
        <w:rPr>
          <w:rFonts w:ascii="Times New Roman" w:eastAsiaTheme="minorEastAsia" w:hAnsi="Times New Roman"/>
          <w:lang w:eastAsia="ko-KR"/>
        </w:rPr>
        <w:t>reduc</w:t>
      </w:r>
      <w:r w:rsidR="001B4C95">
        <w:rPr>
          <w:rFonts w:ascii="Times New Roman" w:eastAsiaTheme="minorEastAsia" w:hAnsi="Times New Roman"/>
          <w:lang w:eastAsia="ko-KR"/>
        </w:rPr>
        <w:t xml:space="preserve">ing </w:t>
      </w:r>
      <w:r w:rsidRPr="00935463">
        <w:rPr>
          <w:rFonts w:ascii="Times New Roman" w:eastAsiaTheme="minorEastAsia" w:hAnsi="Times New Roman"/>
          <w:lang w:eastAsia="ko-KR"/>
        </w:rPr>
        <w:t xml:space="preserve">the fear of getting lost or concerns about route safety. </w:t>
      </w:r>
      <w:r w:rsidR="001B4C95">
        <w:rPr>
          <w:rFonts w:ascii="Times New Roman" w:eastAsiaTheme="minorEastAsia" w:hAnsi="Times New Roman"/>
          <w:lang w:eastAsia="ko-KR"/>
        </w:rPr>
        <w:t>Second</w:t>
      </w:r>
      <w:r w:rsidRPr="00935463">
        <w:rPr>
          <w:rFonts w:ascii="Times New Roman" w:eastAsiaTheme="minorEastAsia" w:hAnsi="Times New Roman"/>
          <w:lang w:eastAsia="ko-KR"/>
        </w:rPr>
        <w:t xml:space="preserve">, ICVs can serve as an accessible alternative to </w:t>
      </w:r>
      <w:r w:rsidR="005B4CDB">
        <w:rPr>
          <w:rFonts w:ascii="Times New Roman" w:eastAsiaTheme="minorEastAsia" w:hAnsi="Times New Roman"/>
          <w:lang w:eastAsia="ko-KR"/>
        </w:rPr>
        <w:t xml:space="preserve">individualized </w:t>
      </w:r>
      <w:r w:rsidRPr="00935463">
        <w:rPr>
          <w:rFonts w:ascii="Times New Roman" w:eastAsiaTheme="minorEastAsia" w:hAnsi="Times New Roman"/>
          <w:lang w:eastAsia="ko-KR"/>
        </w:rPr>
        <w:t xml:space="preserve">professional coaching, </w:t>
      </w:r>
      <w:r w:rsidR="00295663">
        <w:rPr>
          <w:rFonts w:ascii="Times New Roman" w:eastAsiaTheme="minorEastAsia" w:hAnsi="Times New Roman"/>
          <w:lang w:eastAsia="ko-KR"/>
        </w:rPr>
        <w:t xml:space="preserve">which </w:t>
      </w:r>
      <w:r w:rsidRPr="00935463">
        <w:rPr>
          <w:rFonts w:ascii="Times New Roman" w:eastAsiaTheme="minorEastAsia" w:hAnsi="Times New Roman"/>
          <w:lang w:eastAsia="ko-KR"/>
        </w:rPr>
        <w:t xml:space="preserve">has been shown to positively impact physical activity participation </w:t>
      </w:r>
      <w:r w:rsidR="00A35DEF" w:rsidRPr="00935463">
        <w:rPr>
          <w:rFonts w:ascii="Times New Roman" w:eastAsiaTheme="minorEastAsia" w:hAnsi="Times New Roman"/>
          <w:lang w:eastAsia="ko-KR"/>
        </w:rPr>
        <w:fldChar w:fldCharType="begin"/>
      </w:r>
      <w:r w:rsidR="00714083" w:rsidRPr="00935463">
        <w:rPr>
          <w:rFonts w:ascii="Times New Roman" w:eastAsiaTheme="minorEastAsia" w:hAnsi="Times New Roman"/>
          <w:lang w:eastAsia="ko-KR"/>
        </w:rPr>
        <w:instrText xml:space="preserve"> ADDIN ZOTERO_ITEM CSL_CITATION {"citationID":"BkPo4zfD","properties":{"formattedCitation":"(Oliveira et al., 2017)","plainCitation":"(Oliveira et al., 2017)","dontUpdate":true,"noteIndex":0},"citationItems":[{"id":1259,"uris":["http://zotero.org/users/10132210/items/KLUVEANY"],"itemData":{"id":1259,"type":"article-journal","abstract":"Background  Physical inactivity is common in older age, yet increased activity benefits older people in terms of preventing chronic disease and maximising independence. Health coaching is a behaviour change intervention that has been shown to increase physical activity in clinical populations. This systematic review and meta-analysis investigated the effect of health coaching on physical activity, mobility, quality of life and mood in older people.\nMethods  MEDLINE, EMBASE, CENTRAL, PsycINFO, PEDro, SPORTDiscus, LILACS and CINAHL databases were used to identify randomised controlled trials which evaluated the effect of health coaching on physical activity (primary outcome) among people aged 60+. Secondary outcomes were mobility, quality of life and mood. We calculated standardised mean differences (SMDs, Hedges’ g) with 95% CIs from random effects meta-analyses.\nResults  27 eligible trials were included. Health coaching had a small, statistically significant effect on physical activity (27 studies; SMD = 0.27; 95% CI 0.18 to 0.37; p&lt;0.001). There was no evidence of an effect of health coaching on mobility (eight studies; SMD = 0.10; 95% CI −0.03 to 0.23; p=0.13), quality of life (eight studies; SMD = 0.07; 95% CI −0.06 to 0.20; p&lt;0.05) or mood (five studies; SMD = 0.02; 95% CI −0.12 to 0.16; p=0.83).\nConclusions  Health coaching significantly increased physical activity in people aged 60+. There was no evidence of an effect of health coaching on quality of life, mobility and mood, so different approaches may be required to impact on these outcomes.","container-title":"British Journal of Sports Medicine","DOI":"10.1136/bjsports-2016-096943","ISSN":"0306-3674, 1473-0480","issue":"19","journalAbbreviation":"Br J Sports Med","language":"en","page":"1425-1432","source":"DOI.org (Crossref)","title":"What is the effect of health coaching on physical activity participation in people aged 60 years and over? A systematic review of randomised controlled trials","title-short":"What is the effect of health coaching on physical activity participation in people aged 60 years and over?","volume":"51","author":[{"family":"Oliveira","given":"Juliana S"},{"family":"Sherrington","given":"Catherine"},{"family":"Amorim","given":"Anita B"},{"family":"Dario","given":"Amabile B"},{"family":"Tiedemann","given":"Anne"}],"issued":{"date-parts":[["2017",10]]}}}],"schema":"https://github.com/citation-style-language/schema/raw/master/csl-citation.json"} </w:instrText>
      </w:r>
      <w:r w:rsidR="00A35DEF" w:rsidRPr="00935463">
        <w:rPr>
          <w:rFonts w:ascii="Times New Roman" w:eastAsiaTheme="minorEastAsia" w:hAnsi="Times New Roman"/>
          <w:lang w:eastAsia="ko-KR"/>
        </w:rPr>
        <w:fldChar w:fldCharType="separate"/>
      </w:r>
      <w:r w:rsidR="00A35DEF" w:rsidRPr="00935463">
        <w:rPr>
          <w:rFonts w:ascii="Times New Roman" w:hAnsi="Times New Roman"/>
        </w:rPr>
        <w:t>(</w:t>
      </w:r>
      <w:r w:rsidR="00714083" w:rsidRPr="00935463">
        <w:rPr>
          <w:rFonts w:ascii="Times New Roman" w:eastAsiaTheme="minorEastAsia" w:hAnsi="Times New Roman" w:hint="eastAsia"/>
          <w:lang w:eastAsia="ko-KR"/>
        </w:rPr>
        <w:t xml:space="preserve">see </w:t>
      </w:r>
      <w:r w:rsidR="00A35DEF" w:rsidRPr="00935463">
        <w:rPr>
          <w:rFonts w:ascii="Times New Roman" w:hAnsi="Times New Roman"/>
        </w:rPr>
        <w:t>Oliveira et al., 2017)</w:t>
      </w:r>
      <w:r w:rsidR="00A35DEF" w:rsidRPr="00935463">
        <w:rPr>
          <w:rFonts w:ascii="Times New Roman" w:eastAsiaTheme="minorEastAsia" w:hAnsi="Times New Roman"/>
          <w:lang w:eastAsia="ko-KR"/>
        </w:rPr>
        <w:fldChar w:fldCharType="end"/>
      </w:r>
      <w:r w:rsidR="00714083" w:rsidRPr="00935463">
        <w:rPr>
          <w:rStyle w:val="CommentReference"/>
          <w:rFonts w:eastAsiaTheme="minorEastAsia" w:hint="eastAsia"/>
          <w:lang w:eastAsia="ko-KR"/>
        </w:rPr>
        <w:t>.</w:t>
      </w:r>
      <w:r w:rsidR="00714083" w:rsidRPr="00935463">
        <w:rPr>
          <w:rFonts w:ascii="Times New Roman" w:eastAsiaTheme="minorEastAsia" w:hAnsi="Times New Roman"/>
          <w:lang w:eastAsia="ko-KR"/>
        </w:rPr>
        <w:t xml:space="preserve"> </w:t>
      </w:r>
      <w:r w:rsidRPr="00935463">
        <w:rPr>
          <w:rFonts w:ascii="Times New Roman" w:eastAsiaTheme="minorEastAsia" w:hAnsi="Times New Roman"/>
          <w:lang w:eastAsia="ko-KR"/>
        </w:rPr>
        <w:t xml:space="preserve">As AI technology advances, the </w:t>
      </w:r>
      <w:r w:rsidR="00295663">
        <w:rPr>
          <w:rFonts w:ascii="Times New Roman" w:eastAsiaTheme="minorEastAsia" w:hAnsi="Times New Roman"/>
          <w:lang w:eastAsia="ko-KR"/>
        </w:rPr>
        <w:t xml:space="preserve">chasm </w:t>
      </w:r>
      <w:r w:rsidRPr="00935463">
        <w:rPr>
          <w:rFonts w:ascii="Times New Roman" w:eastAsiaTheme="minorEastAsia" w:hAnsi="Times New Roman"/>
          <w:lang w:eastAsia="ko-KR"/>
        </w:rPr>
        <w:t xml:space="preserve">between human coaching and ICV support may narrow, making ICVs an increasingly valuable and reliable tool </w:t>
      </w:r>
      <w:r w:rsidR="00295663">
        <w:rPr>
          <w:rFonts w:ascii="Times New Roman" w:eastAsiaTheme="minorEastAsia" w:hAnsi="Times New Roman"/>
          <w:lang w:eastAsia="ko-KR"/>
        </w:rPr>
        <w:t xml:space="preserve">to </w:t>
      </w:r>
      <w:r w:rsidRPr="00935463">
        <w:rPr>
          <w:rFonts w:ascii="Times New Roman" w:eastAsiaTheme="minorEastAsia" w:hAnsi="Times New Roman"/>
          <w:lang w:eastAsia="ko-KR"/>
        </w:rPr>
        <w:t>promot</w:t>
      </w:r>
      <w:r w:rsidR="00295663">
        <w:rPr>
          <w:rFonts w:ascii="Times New Roman" w:eastAsiaTheme="minorEastAsia" w:hAnsi="Times New Roman"/>
          <w:lang w:eastAsia="ko-KR"/>
        </w:rPr>
        <w:t xml:space="preserve">e walking </w:t>
      </w:r>
      <w:r w:rsidRPr="00935463">
        <w:rPr>
          <w:rFonts w:ascii="Times New Roman" w:eastAsiaTheme="minorEastAsia" w:hAnsi="Times New Roman"/>
          <w:lang w:eastAsia="ko-KR"/>
        </w:rPr>
        <w:t xml:space="preserve">among older adults </w:t>
      </w:r>
      <w:r w:rsidRPr="00935463">
        <w:rPr>
          <w:rFonts w:ascii="Times New Roman" w:eastAsiaTheme="minorEastAsia" w:hAnsi="Times New Roman" w:hint="eastAsia"/>
          <w:lang w:eastAsia="ko-KR"/>
        </w:rPr>
        <w:t xml:space="preserve">(see, for example, </w:t>
      </w:r>
      <w:r w:rsidRPr="00935463">
        <w:rPr>
          <w:rFonts w:ascii="Times New Roman" w:eastAsiaTheme="minorEastAsia" w:hAnsi="Times New Roman"/>
          <w:lang w:eastAsia="ko-KR"/>
        </w:rPr>
        <w:fldChar w:fldCharType="begin"/>
      </w:r>
      <w:r w:rsidR="00714083" w:rsidRPr="00935463">
        <w:rPr>
          <w:rFonts w:ascii="Times New Roman" w:eastAsiaTheme="minorEastAsia" w:hAnsi="Times New Roman"/>
          <w:lang w:eastAsia="ko-KR"/>
        </w:rPr>
        <w:instrText xml:space="preserve"> ADDIN ZOTERO_ITEM CSL_CITATION {"citationID":"7oaXbzxk","properties":{"formattedCitation":"(Mohan et al., 2020; Vardhan et al., 2022)","plainCitation":"(Mohan et al., 2020; Vardhan et al., 2022)","dontUpdate":true,"noteIndex":0},"citationItems":[{"id":1257,"uris":["http://zotero.org/users/10132210/items/2NNG23FJ"],"itemData":{"id":1257,"type":"article-journal","abstract":"Our research aims to develop interactive, social agents that can coach people to learn new tasks, skills, and habits. In this article, we focus on coaching sedentary, overweight individuals (i.e., “trainees”) to exercise regularly. We employ adaptive goal setting in which the intelligent health coach generates, tracks, and revises personalized exercise goals for a trainee. The goals become incrementally more difficult as the trainee progresses through the training program. Our approach is model-based—the coach maintains a parameterized model of the trainee’s aerobic capability that drives its expectation of the trainee’s performance. The model is continually revised based on trainee-coach interactions. The coach is embodied in a smartphone application, N\n              utri\n              W\n              alking\n              , which serves as a medium for coach-trainee interaction. We adopt a task-centric evaluation approach for studying the utility of the proposed algorithm in promoting regular aerobic exercise. We show that our approach can adapt the trainee program not only to several trainees with different capabilities but also to how a trainee’s capability improves as they begin to exercise more. Experts rate the goals selected by the coach better than other plausible goals, demonstrating that our approach is consistent with clinical recommendations. Further, in a 6-week observational study with sedentary participants, we show that the proposed approach helps increase exercise volume performed each week.","container-title":"ACM Transactions on Interactive Intelligent Systems","DOI":"10.1145/3366501","ISSN":"2160-6455, 2160-6463","issue":"2","journalAbbreviation":"ACM Trans. Interact. Intell. Syst.","language":"en","page":"1-30","source":"DOI.org (Crossref)","title":"Designing an AI Health Coach and Studying Its Utility in Promoting Regular Aerobic Exercise","volume":"10","author":[{"family":"Mohan","given":"Shiwali"},{"family":"Venkatakrishnan","given":"Anusha"},{"family":"Hartzler","given":"Andrea L."}],"issued":{"date-parts":[["2020",6,30]]}}},{"id":1258,"uris":["http://zotero.org/users/10132210/items/BF4XYXCC"],"itemData":{"id":1258,"type":"paper-conference","container-title":"Proceedings of the 30th ACM Conference on User Modeling, Adaptation and Personalization","DOI":"10.1145/3503252.3531301","event-place":"Barcelona Spain","event-title":"UMAP '22: 30th ACM Conference on User Modeling, Adaptation and Personalization","ISBN":"978-1-4503-9207-5","language":"en","page":"57-68","publisher":"ACM","publisher-place":"Barcelona Spain","source":"DOI.org (Crossref)","title":"Walking with PACE - Personalized and Automated Coaching Engine","URL":"https://dl.acm.org/doi/10.1145/3503252.3531301","author":[{"family":"Vardhan","given":"Madhurima"},{"family":"Hegde","given":"Narayan"},{"family":"Merugu","given":"Srujana"},{"family":"Prabhat","given":"Shantanu"},{"family":"Nathani","given":"Deepak"},{"family":"Seneviratne","given":"Martin"},{"family":"Muhammad","given":"Nur"},{"family":"Reddy","given":"Pranay"},{"family":"Lakshminarasimhan","given":"Sriram"},{"family":"Singh","given":"Rahul"},{"family":"Lorenzana","given":"Karina"},{"family":"Motwani","given":"Eshan"},{"family":"Talukdar","given":"Partha"},{"family":"Raghuveer","given":"Aravindan"}],"accessed":{"date-parts":[["2024",6,17]]},"issued":{"date-parts":[["2022",7,4]]}}}],"schema":"https://github.com/citation-style-language/schema/raw/master/csl-citation.json"} </w:instrText>
      </w:r>
      <w:r w:rsidRPr="00935463">
        <w:rPr>
          <w:rFonts w:ascii="Times New Roman" w:eastAsiaTheme="minorEastAsia" w:hAnsi="Times New Roman"/>
          <w:lang w:eastAsia="ko-KR"/>
        </w:rPr>
        <w:fldChar w:fldCharType="separate"/>
      </w:r>
      <w:r w:rsidRPr="00935463">
        <w:rPr>
          <w:rFonts w:ascii="Times New Roman" w:hAnsi="Times New Roman"/>
        </w:rPr>
        <w:t>Mohan et al., 2020</w:t>
      </w:r>
      <w:r w:rsidR="0027056D" w:rsidRPr="00935463">
        <w:rPr>
          <w:rFonts w:ascii="Times New Roman" w:hAnsi="Times New Roman"/>
        </w:rPr>
        <w:t>, and</w:t>
      </w:r>
      <w:r w:rsidRPr="00935463">
        <w:rPr>
          <w:rFonts w:ascii="Times New Roman" w:hAnsi="Times New Roman"/>
        </w:rPr>
        <w:t xml:space="preserve"> Vardhan et al., 2022)</w:t>
      </w:r>
      <w:r w:rsidRPr="00935463">
        <w:rPr>
          <w:rFonts w:ascii="Times New Roman" w:eastAsiaTheme="minorEastAsia" w:hAnsi="Times New Roman"/>
          <w:lang w:eastAsia="ko-KR"/>
        </w:rPr>
        <w:fldChar w:fldCharType="end"/>
      </w:r>
      <w:r w:rsidRPr="00935463">
        <w:rPr>
          <w:rFonts w:ascii="Times New Roman" w:eastAsiaTheme="minorEastAsia" w:hAnsi="Times New Roman"/>
          <w:lang w:eastAsia="ko-KR"/>
        </w:rPr>
        <w:t>.</w:t>
      </w:r>
      <w:r w:rsidRPr="00BB0B32">
        <w:rPr>
          <w:rFonts w:ascii="Times New Roman" w:eastAsiaTheme="minorEastAsia" w:hAnsi="Times New Roman"/>
          <w:lang w:eastAsia="ko-KR"/>
        </w:rPr>
        <w:t xml:space="preserve"> </w:t>
      </w:r>
    </w:p>
    <w:p w14:paraId="54992A18" w14:textId="77777777" w:rsidR="00662E40" w:rsidRPr="00DB1BF6" w:rsidRDefault="00662E40" w:rsidP="00662E40">
      <w:pPr>
        <w:ind w:firstLine="720"/>
        <w:jc w:val="both"/>
        <w:rPr>
          <w:rFonts w:ascii="Times New Roman" w:eastAsiaTheme="minorEastAsia" w:hAnsi="Times New Roman"/>
          <w:lang w:eastAsia="ko-KR"/>
        </w:rPr>
      </w:pPr>
    </w:p>
    <w:p w14:paraId="28C7A851" w14:textId="6B600F6D" w:rsidR="00745536" w:rsidRPr="00662E40" w:rsidRDefault="00745536" w:rsidP="00662E40">
      <w:pPr>
        <w:pStyle w:val="Heading1"/>
        <w:spacing w:line="240" w:lineRule="auto"/>
        <w:contextualSpacing w:val="0"/>
        <w:rPr>
          <w:caps/>
          <w:lang w:eastAsia="ko-KR"/>
        </w:rPr>
      </w:pPr>
      <w:r w:rsidRPr="00662E40">
        <w:rPr>
          <w:rFonts w:hint="eastAsia"/>
          <w:caps/>
          <w:lang w:eastAsia="ko-KR"/>
        </w:rPr>
        <w:t>Conclusion</w:t>
      </w:r>
      <w:r w:rsidR="00532A4C" w:rsidRPr="00662E40">
        <w:rPr>
          <w:caps/>
          <w:lang w:eastAsia="ko-KR"/>
        </w:rPr>
        <w:t>s</w:t>
      </w:r>
    </w:p>
    <w:p w14:paraId="0279345C" w14:textId="21A31FA6" w:rsidR="00AF0ACE" w:rsidRPr="00F424E8" w:rsidRDefault="00AF0ACE" w:rsidP="00662E40">
      <w:pPr>
        <w:jc w:val="both"/>
        <w:rPr>
          <w:rFonts w:ascii="Times New Roman" w:eastAsiaTheme="minorEastAsia" w:hAnsi="Times New Roman"/>
          <w:lang w:eastAsia="ko-KR"/>
        </w:rPr>
      </w:pPr>
      <w:bookmarkStart w:id="44" w:name="_Hlk168428678"/>
      <w:r w:rsidRPr="00F424E8">
        <w:rPr>
          <w:rFonts w:ascii="Times New Roman" w:eastAsiaTheme="minorEastAsia" w:hAnsi="Times New Roman"/>
          <w:lang w:eastAsia="ko-KR"/>
        </w:rPr>
        <w:t xml:space="preserve">This study </w:t>
      </w:r>
      <w:r w:rsidR="00AE5DFD">
        <w:rPr>
          <w:rFonts w:ascii="Times New Roman" w:eastAsiaTheme="minorEastAsia" w:hAnsi="Times New Roman"/>
          <w:lang w:eastAsia="ko-KR"/>
        </w:rPr>
        <w:t xml:space="preserve">has investigated the determinants of </w:t>
      </w:r>
      <w:r w:rsidR="00532A4C">
        <w:rPr>
          <w:rFonts w:ascii="Times New Roman" w:eastAsiaTheme="minorEastAsia" w:hAnsi="Times New Roman"/>
          <w:lang w:eastAsia="ko-KR"/>
        </w:rPr>
        <w:t xml:space="preserve">three separate, but inter-related </w:t>
      </w:r>
      <w:r w:rsidRPr="00F424E8">
        <w:rPr>
          <w:rFonts w:ascii="Times New Roman" w:eastAsiaTheme="minorEastAsia" w:hAnsi="Times New Roman"/>
          <w:lang w:eastAsia="ko-KR"/>
        </w:rPr>
        <w:t>dimensions of older adults' walking behavior</w:t>
      </w:r>
      <w:r w:rsidR="00532A4C">
        <w:rPr>
          <w:rFonts w:ascii="Times New Roman" w:eastAsiaTheme="minorEastAsia" w:hAnsi="Times New Roman"/>
          <w:lang w:eastAsia="ko-KR"/>
        </w:rPr>
        <w:t xml:space="preserve">: </w:t>
      </w:r>
      <w:r w:rsidRPr="00F424E8">
        <w:rPr>
          <w:rFonts w:ascii="Times New Roman" w:eastAsiaTheme="minorEastAsia" w:hAnsi="Times New Roman"/>
          <w:lang w:eastAsia="ko-KR"/>
        </w:rPr>
        <w:t>frequency</w:t>
      </w:r>
      <w:r w:rsidR="00532A4C">
        <w:rPr>
          <w:rFonts w:ascii="Times New Roman" w:eastAsiaTheme="minorEastAsia" w:hAnsi="Times New Roman"/>
          <w:lang w:eastAsia="ko-KR"/>
        </w:rPr>
        <w:t xml:space="preserve"> of days of walk in the week</w:t>
      </w:r>
      <w:r w:rsidRPr="00F424E8">
        <w:rPr>
          <w:rFonts w:ascii="Times New Roman" w:eastAsiaTheme="minorEastAsia" w:hAnsi="Times New Roman"/>
          <w:lang w:eastAsia="ko-KR"/>
        </w:rPr>
        <w:t xml:space="preserve">, </w:t>
      </w:r>
      <w:r w:rsidR="00AE5DFD">
        <w:rPr>
          <w:rFonts w:ascii="Times New Roman" w:eastAsiaTheme="minorEastAsia" w:hAnsi="Times New Roman"/>
          <w:lang w:eastAsia="ko-KR"/>
        </w:rPr>
        <w:t xml:space="preserve">typical </w:t>
      </w:r>
      <w:r w:rsidRPr="00F424E8">
        <w:rPr>
          <w:rFonts w:ascii="Times New Roman" w:eastAsiaTheme="minorEastAsia" w:hAnsi="Times New Roman"/>
          <w:lang w:eastAsia="ko-KR"/>
        </w:rPr>
        <w:t>duration</w:t>
      </w:r>
      <w:r w:rsidR="00532A4C">
        <w:rPr>
          <w:rFonts w:ascii="Times New Roman" w:eastAsiaTheme="minorEastAsia" w:hAnsi="Times New Roman"/>
          <w:lang w:eastAsia="ko-KR"/>
        </w:rPr>
        <w:t xml:space="preserve"> of </w:t>
      </w:r>
      <w:r w:rsidR="00AE5DFD">
        <w:rPr>
          <w:rFonts w:ascii="Times New Roman" w:eastAsiaTheme="minorEastAsia" w:hAnsi="Times New Roman"/>
          <w:lang w:eastAsia="ko-KR"/>
        </w:rPr>
        <w:t>walk during days of walk</w:t>
      </w:r>
      <w:r w:rsidR="0085774B" w:rsidRPr="00F424E8">
        <w:rPr>
          <w:rFonts w:ascii="Times New Roman" w:eastAsiaTheme="minorEastAsia" w:hAnsi="Times New Roman"/>
          <w:lang w:eastAsia="ko-KR"/>
        </w:rPr>
        <w:t xml:space="preserve">, and </w:t>
      </w:r>
      <w:r w:rsidR="00386BA0" w:rsidRPr="00F424E8">
        <w:rPr>
          <w:rFonts w:ascii="Times New Roman" w:eastAsiaTheme="minorEastAsia" w:hAnsi="Times New Roman"/>
          <w:lang w:eastAsia="ko-KR"/>
        </w:rPr>
        <w:t xml:space="preserve">social </w:t>
      </w:r>
      <w:r w:rsidR="0085774B" w:rsidRPr="00F424E8">
        <w:rPr>
          <w:rFonts w:ascii="Times New Roman" w:eastAsiaTheme="minorEastAsia" w:hAnsi="Times New Roman"/>
          <w:lang w:eastAsia="ko-KR"/>
        </w:rPr>
        <w:t>companionship</w:t>
      </w:r>
      <w:r w:rsidR="0027056D" w:rsidRPr="00F424E8">
        <w:rPr>
          <w:rFonts w:ascii="Times New Roman" w:eastAsiaTheme="minorEastAsia" w:hAnsi="Times New Roman"/>
          <w:lang w:eastAsia="ko-KR"/>
        </w:rPr>
        <w:t xml:space="preserve"> </w:t>
      </w:r>
      <w:r w:rsidR="00386BA0" w:rsidRPr="00F424E8">
        <w:rPr>
          <w:rFonts w:ascii="Times New Roman" w:eastAsiaTheme="minorEastAsia" w:hAnsi="Times New Roman"/>
          <w:lang w:eastAsia="ko-KR"/>
        </w:rPr>
        <w:t>(SC)</w:t>
      </w:r>
      <w:r w:rsidRPr="00F424E8">
        <w:rPr>
          <w:rFonts w:ascii="Times New Roman" w:eastAsiaTheme="minorEastAsia" w:hAnsi="Times New Roman"/>
          <w:lang w:eastAsia="ko-KR"/>
        </w:rPr>
        <w:t xml:space="preserve">. </w:t>
      </w:r>
      <w:r w:rsidR="00AE5DFD">
        <w:rPr>
          <w:rFonts w:ascii="Times New Roman" w:eastAsiaTheme="minorEastAsia" w:hAnsi="Times New Roman"/>
          <w:lang w:eastAsia="ko-KR"/>
        </w:rPr>
        <w:t xml:space="preserve">The analysis is undertaken using a multivariate mixed data approach (including two ordered-response outcomes and a grouped outcome), </w:t>
      </w:r>
      <w:bookmarkStart w:id="45" w:name="_Hlk169957420"/>
      <w:r w:rsidR="0027056D" w:rsidRPr="00F424E8">
        <w:rPr>
          <w:rFonts w:ascii="Times New Roman" w:eastAsiaTheme="minorEastAsia" w:hAnsi="Times New Roman"/>
          <w:lang w:eastAsia="ko-KR"/>
        </w:rPr>
        <w:t xml:space="preserve">nationally representative </w:t>
      </w:r>
      <w:r w:rsidR="007B7A98" w:rsidRPr="00F424E8">
        <w:rPr>
          <w:rFonts w:ascii="Times New Roman" w:eastAsiaTheme="minorEastAsia" w:hAnsi="Times New Roman"/>
          <w:lang w:eastAsia="ko-KR"/>
        </w:rPr>
        <w:t xml:space="preserve">survey data collected after the peak of the COVID-19 pandemic in July 2022. </w:t>
      </w:r>
      <w:r w:rsidRPr="00F424E8">
        <w:rPr>
          <w:rFonts w:ascii="Times New Roman" w:eastAsiaTheme="minorEastAsia" w:hAnsi="Times New Roman"/>
          <w:lang w:eastAsia="ko-KR"/>
        </w:rPr>
        <w:t>This approach facilitate</w:t>
      </w:r>
      <w:r w:rsidR="007B7A98" w:rsidRPr="00F424E8">
        <w:rPr>
          <w:rFonts w:ascii="Times New Roman" w:eastAsiaTheme="minorEastAsia" w:hAnsi="Times New Roman"/>
          <w:lang w:eastAsia="ko-KR"/>
        </w:rPr>
        <w:t>d</w:t>
      </w:r>
      <w:r w:rsidRPr="00F424E8">
        <w:rPr>
          <w:rFonts w:ascii="Times New Roman" w:eastAsiaTheme="minorEastAsia" w:hAnsi="Times New Roman"/>
          <w:lang w:eastAsia="ko-KR"/>
        </w:rPr>
        <w:t xml:space="preserve"> </w:t>
      </w:r>
      <w:r w:rsidR="007B7A98" w:rsidRPr="00F424E8">
        <w:rPr>
          <w:rFonts w:ascii="Times New Roman" w:eastAsiaTheme="minorEastAsia" w:hAnsi="Times New Roman"/>
          <w:lang w:eastAsia="ko-KR"/>
        </w:rPr>
        <w:t>the</w:t>
      </w:r>
      <w:r w:rsidRPr="00F424E8">
        <w:rPr>
          <w:rFonts w:ascii="Times New Roman" w:eastAsiaTheme="minorEastAsia" w:hAnsi="Times New Roman"/>
          <w:lang w:eastAsia="ko-KR"/>
        </w:rPr>
        <w:t xml:space="preserve"> comprehensive understanding </w:t>
      </w:r>
      <w:r w:rsidR="007B7A98" w:rsidRPr="00F424E8">
        <w:rPr>
          <w:rFonts w:ascii="Times New Roman" w:eastAsiaTheme="minorEastAsia" w:hAnsi="Times New Roman"/>
          <w:lang w:eastAsia="ko-KR"/>
        </w:rPr>
        <w:t>of the long-term effects of the pandemic on older adults' walking behaviors.</w:t>
      </w:r>
    </w:p>
    <w:bookmarkEnd w:id="45"/>
    <w:p w14:paraId="27F8F978" w14:textId="6EB1A24F" w:rsidR="00706ECB" w:rsidRPr="00F424E8" w:rsidRDefault="007B7A98" w:rsidP="00662E40">
      <w:pPr>
        <w:ind w:firstLine="720"/>
        <w:jc w:val="both"/>
        <w:rPr>
          <w:rFonts w:eastAsiaTheme="minorEastAsia"/>
          <w:lang w:eastAsia="ko-KR"/>
        </w:rPr>
      </w:pPr>
      <w:r w:rsidRPr="00F424E8">
        <w:rPr>
          <w:rFonts w:eastAsiaTheme="minorEastAsia"/>
          <w:lang w:eastAsia="ko-KR"/>
        </w:rPr>
        <w:t xml:space="preserve">This study aimed to identify the relationships between sociodemographic factors and </w:t>
      </w:r>
      <w:r w:rsidR="0027056D" w:rsidRPr="00F424E8">
        <w:rPr>
          <w:rFonts w:eastAsiaTheme="minorEastAsia"/>
          <w:lang w:eastAsia="ko-KR"/>
        </w:rPr>
        <w:t xml:space="preserve">the three </w:t>
      </w:r>
      <w:r w:rsidRPr="00F424E8">
        <w:rPr>
          <w:rFonts w:eastAsiaTheme="minorEastAsia"/>
          <w:lang w:eastAsia="ko-KR"/>
        </w:rPr>
        <w:t xml:space="preserve">dimensions of walking behavior (frequency, duration, </w:t>
      </w:r>
      <w:r w:rsidR="00386BA0" w:rsidRPr="00F424E8">
        <w:rPr>
          <w:rFonts w:eastAsiaTheme="minorEastAsia"/>
          <w:lang w:eastAsia="ko-KR"/>
        </w:rPr>
        <w:t>SC</w:t>
      </w:r>
      <w:r w:rsidRPr="00F424E8">
        <w:rPr>
          <w:rFonts w:eastAsiaTheme="minorEastAsia"/>
          <w:lang w:eastAsia="ko-KR"/>
        </w:rPr>
        <w:t>) among older adults, as well as capture the causal effects among these dimensions</w:t>
      </w:r>
      <w:r w:rsidR="003123FA" w:rsidRPr="00F424E8">
        <w:rPr>
          <w:rFonts w:eastAsiaTheme="minorEastAsia"/>
          <w:lang w:eastAsia="ko-KR"/>
        </w:rPr>
        <w:t xml:space="preserve">. </w:t>
      </w:r>
      <w:r w:rsidR="0014542F" w:rsidRPr="00F424E8">
        <w:rPr>
          <w:rFonts w:eastAsiaTheme="minorEastAsia"/>
          <w:lang w:eastAsia="ko-KR"/>
        </w:rPr>
        <w:t xml:space="preserve">Overall, </w:t>
      </w:r>
      <w:r w:rsidRPr="00F424E8">
        <w:rPr>
          <w:rFonts w:eastAsiaTheme="minorEastAsia"/>
          <w:lang w:eastAsia="ko-KR"/>
        </w:rPr>
        <w:t>the</w:t>
      </w:r>
      <w:r w:rsidR="00546D81" w:rsidRPr="00F424E8">
        <w:t xml:space="preserve"> </w:t>
      </w:r>
      <w:r w:rsidRPr="00F424E8">
        <w:t xml:space="preserve">findings revealed </w:t>
      </w:r>
      <w:r w:rsidR="00546D81" w:rsidRPr="00F424E8">
        <w:rPr>
          <w:rFonts w:eastAsiaTheme="minorEastAsia"/>
          <w:lang w:eastAsia="ko-KR"/>
        </w:rPr>
        <w:t>significant</w:t>
      </w:r>
      <w:r w:rsidR="0027056D" w:rsidRPr="00F424E8">
        <w:rPr>
          <w:rFonts w:eastAsiaTheme="minorEastAsia"/>
          <w:lang w:eastAsia="ko-KR"/>
        </w:rPr>
        <w:t>,</w:t>
      </w:r>
      <w:r w:rsidR="00546D81" w:rsidRPr="00F424E8">
        <w:rPr>
          <w:rFonts w:eastAsiaTheme="minorEastAsia"/>
          <w:lang w:eastAsia="ko-KR"/>
        </w:rPr>
        <w:t xml:space="preserve"> </w:t>
      </w:r>
      <w:r w:rsidR="00D1345E" w:rsidRPr="00F424E8">
        <w:rPr>
          <w:rFonts w:eastAsiaTheme="minorEastAsia"/>
          <w:lang w:eastAsia="ko-KR"/>
        </w:rPr>
        <w:t xml:space="preserve">yet </w:t>
      </w:r>
      <w:r w:rsidR="0027056D" w:rsidRPr="00F424E8">
        <w:rPr>
          <w:rFonts w:eastAsiaTheme="minorEastAsia"/>
          <w:lang w:eastAsia="ko-KR"/>
        </w:rPr>
        <w:t xml:space="preserve">distinct, </w:t>
      </w:r>
      <w:r w:rsidR="00546D81" w:rsidRPr="00F424E8">
        <w:rPr>
          <w:rFonts w:eastAsiaTheme="minorEastAsia"/>
          <w:lang w:eastAsia="ko-KR"/>
        </w:rPr>
        <w:t xml:space="preserve">relationships </w:t>
      </w:r>
      <w:r w:rsidR="0014542F" w:rsidRPr="00F424E8">
        <w:rPr>
          <w:rFonts w:eastAsiaTheme="minorEastAsia"/>
          <w:lang w:eastAsia="ko-KR"/>
        </w:rPr>
        <w:t>between sociodemographic factors and</w:t>
      </w:r>
      <w:r w:rsidR="00D1345E" w:rsidRPr="00F424E8">
        <w:rPr>
          <w:rFonts w:eastAsiaTheme="minorEastAsia"/>
          <w:lang w:eastAsia="ko-KR"/>
        </w:rPr>
        <w:t xml:space="preserve"> </w:t>
      </w:r>
      <w:r w:rsidR="0027056D" w:rsidRPr="00F424E8">
        <w:rPr>
          <w:rFonts w:eastAsiaTheme="minorEastAsia"/>
          <w:lang w:eastAsia="ko-KR"/>
        </w:rPr>
        <w:t xml:space="preserve">each dimension of </w:t>
      </w:r>
      <w:r w:rsidR="00546D81" w:rsidRPr="00F424E8">
        <w:rPr>
          <w:rFonts w:eastAsiaTheme="minorEastAsia"/>
          <w:lang w:eastAsia="ko-KR"/>
        </w:rPr>
        <w:t>walking</w:t>
      </w:r>
      <w:r w:rsidRPr="00F424E8">
        <w:rPr>
          <w:rFonts w:eastAsiaTheme="minorEastAsia"/>
          <w:lang w:eastAsia="ko-KR"/>
        </w:rPr>
        <w:t xml:space="preserve"> </w:t>
      </w:r>
      <w:r w:rsidR="0027056D" w:rsidRPr="00F424E8">
        <w:rPr>
          <w:rFonts w:eastAsiaTheme="minorEastAsia"/>
          <w:lang w:eastAsia="ko-KR"/>
        </w:rPr>
        <w:t>behavior</w:t>
      </w:r>
      <w:r w:rsidR="00D1345E" w:rsidRPr="00F424E8">
        <w:rPr>
          <w:rFonts w:eastAsiaTheme="minorEastAsia"/>
          <w:lang w:eastAsia="ko-KR"/>
        </w:rPr>
        <w:t>.</w:t>
      </w:r>
      <w:r w:rsidR="0027056D" w:rsidRPr="00F424E8">
        <w:rPr>
          <w:rFonts w:eastAsiaTheme="minorEastAsia"/>
          <w:lang w:eastAsia="ko-KR"/>
        </w:rPr>
        <w:t xml:space="preserve"> In terms of causal relationships, </w:t>
      </w:r>
      <w:r w:rsidR="00D1345E" w:rsidRPr="00F424E8">
        <w:rPr>
          <w:rFonts w:eastAsiaTheme="minorEastAsia"/>
          <w:lang w:eastAsia="ko-KR"/>
        </w:rPr>
        <w:t>the presence of companions had a positive endogenous effect on both the frequency and duration of walking</w:t>
      </w:r>
      <w:r w:rsidR="0055041A">
        <w:rPr>
          <w:rFonts w:eastAsiaTheme="minorEastAsia"/>
          <w:lang w:eastAsia="ko-KR"/>
        </w:rPr>
        <w:t xml:space="preserve">. Also, </w:t>
      </w:r>
      <w:r w:rsidR="00D1345E" w:rsidRPr="00F424E8">
        <w:rPr>
          <w:rFonts w:eastAsiaTheme="minorEastAsia"/>
          <w:lang w:eastAsia="ko-KR"/>
        </w:rPr>
        <w:t>frequent walking positively influenced the average walking duration.</w:t>
      </w:r>
      <w:r w:rsidR="005C7228" w:rsidRPr="00F424E8">
        <w:rPr>
          <w:rFonts w:eastAsiaTheme="minorEastAsia"/>
          <w:lang w:eastAsia="ko-KR"/>
        </w:rPr>
        <w:t xml:space="preserve"> </w:t>
      </w:r>
      <w:r w:rsidRPr="00F424E8">
        <w:rPr>
          <w:rFonts w:eastAsiaTheme="minorEastAsia"/>
          <w:lang w:eastAsia="ko-KR"/>
        </w:rPr>
        <w:t>Further, an average treatment effects (ATEs) analysis was conducted</w:t>
      </w:r>
      <w:r w:rsidR="0027056D" w:rsidRPr="00F424E8">
        <w:rPr>
          <w:rFonts w:eastAsiaTheme="minorEastAsia"/>
          <w:lang w:eastAsia="ko-KR"/>
        </w:rPr>
        <w:t xml:space="preserve"> to </w:t>
      </w:r>
      <w:r w:rsidRPr="00F424E8">
        <w:t>quantif</w:t>
      </w:r>
      <w:r w:rsidR="0027056D" w:rsidRPr="00F424E8">
        <w:t>y</w:t>
      </w:r>
      <w:r w:rsidRPr="00F424E8">
        <w:t xml:space="preserve"> the overall impact of exogenous variables and decompose these impacts into direct and indirect effects mediated through the endogenous walking behavior variables (frequency and companionship). </w:t>
      </w:r>
      <w:r w:rsidRPr="00F424E8">
        <w:rPr>
          <w:rFonts w:eastAsiaTheme="minorEastAsia"/>
          <w:lang w:eastAsia="ko-KR"/>
        </w:rPr>
        <w:t xml:space="preserve">The findings suggested that older adults with fewer resources, such as those who are over 64 years, unemployed, from low-income households, and members of households with children, tended to walk less frequently and for shorter durations. However, the causal effect of </w:t>
      </w:r>
      <w:r w:rsidR="009425EB" w:rsidRPr="00F424E8">
        <w:rPr>
          <w:rFonts w:eastAsiaTheme="minorEastAsia"/>
          <w:lang w:eastAsia="ko-KR"/>
        </w:rPr>
        <w:t>SC</w:t>
      </w:r>
      <w:r w:rsidRPr="00F424E8">
        <w:rPr>
          <w:rFonts w:eastAsiaTheme="minorEastAsia"/>
          <w:lang w:eastAsia="ko-KR"/>
        </w:rPr>
        <w:t xml:space="preserve"> revealed that certain groups, such as Black individuals and those living alone, walked less due to the </w:t>
      </w:r>
      <w:r w:rsidR="0027056D" w:rsidRPr="00F424E8">
        <w:rPr>
          <w:rFonts w:eastAsiaTheme="minorEastAsia"/>
          <w:lang w:eastAsia="ko-KR"/>
        </w:rPr>
        <w:t xml:space="preserve">absence of </w:t>
      </w:r>
      <w:r w:rsidRPr="00F424E8">
        <w:rPr>
          <w:rFonts w:eastAsiaTheme="minorEastAsia"/>
          <w:lang w:eastAsia="ko-KR"/>
        </w:rPr>
        <w:t>walking companion</w:t>
      </w:r>
      <w:r w:rsidR="0027056D" w:rsidRPr="00F424E8">
        <w:rPr>
          <w:rFonts w:eastAsiaTheme="minorEastAsia"/>
          <w:lang w:eastAsia="ko-KR"/>
        </w:rPr>
        <w:t>s</w:t>
      </w:r>
      <w:r w:rsidRPr="00F424E8">
        <w:rPr>
          <w:rFonts w:eastAsiaTheme="minorEastAsia"/>
          <w:lang w:eastAsia="ko-KR"/>
        </w:rPr>
        <w:t xml:space="preserve">. These results highlight the importance of considering social </w:t>
      </w:r>
      <w:r w:rsidRPr="00F424E8">
        <w:rPr>
          <w:rFonts w:eastAsiaTheme="minorEastAsia"/>
          <w:lang w:eastAsia="ko-KR"/>
        </w:rPr>
        <w:lastRenderedPageBreak/>
        <w:t>aspects in understanding walking behavior and suggest that approaches to encourage walking need to be tailored to different social groups.</w:t>
      </w:r>
      <w:r w:rsidR="0027056D" w:rsidRPr="001046F2">
        <w:t xml:space="preserve"> </w:t>
      </w:r>
      <w:r w:rsidR="00706ECB" w:rsidRPr="001046F2">
        <w:t xml:space="preserve">By tailoring interventions to the unique needs of different populations and leveraging the power of community, companionship, and </w:t>
      </w:r>
      <w:r w:rsidR="00626C3F" w:rsidRPr="001046F2">
        <w:rPr>
          <w:rFonts w:eastAsiaTheme="minorEastAsia"/>
          <w:lang w:eastAsia="ko-KR"/>
        </w:rPr>
        <w:t xml:space="preserve">emerging </w:t>
      </w:r>
      <w:r w:rsidR="00706ECB" w:rsidRPr="001046F2">
        <w:t>technolog</w:t>
      </w:r>
      <w:r w:rsidR="00626C3F" w:rsidRPr="001046F2">
        <w:rPr>
          <w:rFonts w:eastAsiaTheme="minorEastAsia"/>
          <w:lang w:eastAsia="ko-KR"/>
        </w:rPr>
        <w:t>ies</w:t>
      </w:r>
      <w:r w:rsidR="00706ECB" w:rsidRPr="001046F2">
        <w:t>, policymakers can effectively foster a culture of active living</w:t>
      </w:r>
      <w:r w:rsidR="00D1345E" w:rsidRPr="001046F2">
        <w:t xml:space="preserve"> among older adults</w:t>
      </w:r>
      <w:r w:rsidR="00706ECB" w:rsidRPr="001046F2">
        <w:t xml:space="preserve"> and equitable access to the numerous benefits of regular walking.</w:t>
      </w:r>
    </w:p>
    <w:p w14:paraId="7553EA80" w14:textId="481E9AD4" w:rsidR="00D1345E" w:rsidRPr="007D792F" w:rsidRDefault="0027056D" w:rsidP="00662E40">
      <w:pPr>
        <w:ind w:firstLine="720"/>
        <w:jc w:val="both"/>
        <w:rPr>
          <w:rFonts w:ascii="Times New Roman" w:eastAsiaTheme="minorEastAsia" w:hAnsi="Times New Roman"/>
          <w:lang w:eastAsia="ko-KR"/>
        </w:rPr>
      </w:pPr>
      <w:r w:rsidRPr="00F424E8">
        <w:rPr>
          <w:rFonts w:ascii="Times New Roman" w:eastAsiaTheme="minorEastAsia" w:hAnsi="Times New Roman"/>
          <w:lang w:eastAsia="ko-KR"/>
        </w:rPr>
        <w:t xml:space="preserve">The research in this study may be advanced in many ways. </w:t>
      </w:r>
      <w:r w:rsidR="00BA5840" w:rsidRPr="00F424E8">
        <w:rPr>
          <w:rFonts w:ascii="Times New Roman" w:eastAsiaTheme="minorEastAsia" w:hAnsi="Times New Roman"/>
          <w:u w:val="single"/>
          <w:lang w:eastAsia="ko-KR"/>
        </w:rPr>
        <w:t>First</w:t>
      </w:r>
      <w:r w:rsidR="00BA5840" w:rsidRPr="00F424E8">
        <w:rPr>
          <w:rFonts w:ascii="Times New Roman" w:eastAsiaTheme="minorEastAsia" w:hAnsi="Times New Roman"/>
          <w:lang w:eastAsia="ko-KR"/>
        </w:rPr>
        <w:t>, although</w:t>
      </w:r>
      <w:r w:rsidRPr="00F424E8">
        <w:rPr>
          <w:rFonts w:ascii="Times New Roman" w:eastAsiaTheme="minorEastAsia" w:hAnsi="Times New Roman"/>
          <w:lang w:eastAsia="ko-KR"/>
        </w:rPr>
        <w:t xml:space="preserve"> we acknowledge the significant </w:t>
      </w:r>
      <w:r w:rsidR="00BA5840" w:rsidRPr="00F424E8">
        <w:rPr>
          <w:rFonts w:ascii="Times New Roman" w:eastAsiaTheme="minorEastAsia" w:hAnsi="Times New Roman"/>
          <w:lang w:eastAsia="ko-KR"/>
        </w:rPr>
        <w:t>impact of the built and natural environment on walking,</w:t>
      </w:r>
      <w:r w:rsidRPr="00F424E8">
        <w:rPr>
          <w:rFonts w:ascii="Times New Roman" w:eastAsiaTheme="minorEastAsia" w:hAnsi="Times New Roman"/>
          <w:lang w:eastAsia="ko-KR"/>
        </w:rPr>
        <w:t xml:space="preserve"> we could not explore this aspect due to</w:t>
      </w:r>
      <w:r w:rsidRPr="00F424E8">
        <w:rPr>
          <w:rFonts w:ascii="Times New Roman" w:hAnsi="Times New Roman"/>
        </w:rPr>
        <w:t xml:space="preserve"> </w:t>
      </w:r>
      <w:r w:rsidRPr="00F424E8">
        <w:rPr>
          <w:rFonts w:ascii="Times New Roman" w:eastAsiaTheme="minorEastAsia" w:hAnsi="Times New Roman"/>
          <w:lang w:eastAsia="ko-KR"/>
        </w:rPr>
        <w:t xml:space="preserve">the lack of data on respondents' residential locations. </w:t>
      </w:r>
      <w:r w:rsidRPr="00935463">
        <w:rPr>
          <w:rFonts w:ascii="Times New Roman" w:eastAsiaTheme="minorEastAsia" w:hAnsi="Times New Roman"/>
          <w:lang w:eastAsia="ko-KR"/>
        </w:rPr>
        <w:t xml:space="preserve">Future research should prioritize examining how </w:t>
      </w:r>
      <w:r w:rsidR="0055041A" w:rsidRPr="00935463">
        <w:rPr>
          <w:rFonts w:ascii="Times New Roman" w:eastAsiaTheme="minorEastAsia" w:hAnsi="Times New Roman"/>
          <w:lang w:eastAsia="ko-KR"/>
        </w:rPr>
        <w:t>these</w:t>
      </w:r>
      <w:r w:rsidRPr="00935463">
        <w:rPr>
          <w:rFonts w:ascii="Times New Roman" w:eastAsiaTheme="minorEastAsia" w:hAnsi="Times New Roman"/>
          <w:lang w:eastAsia="ko-KR"/>
        </w:rPr>
        <w:t xml:space="preserve"> factors specifically affect older adults' walking behavior, especially since this demographic may be particularly sensitive to environmental conditions </w:t>
      </w:r>
      <w:r w:rsidR="00546D81" w:rsidRPr="00935463">
        <w:rPr>
          <w:rFonts w:ascii="Times New Roman" w:eastAsiaTheme="minorEastAsia" w:hAnsi="Times New Roman"/>
          <w:lang w:eastAsia="ko-KR"/>
        </w:rPr>
        <w:t xml:space="preserve">due to factors </w:t>
      </w:r>
      <w:r w:rsidR="00BA5840" w:rsidRPr="00935463">
        <w:rPr>
          <w:rFonts w:ascii="Times New Roman" w:eastAsiaTheme="minorEastAsia" w:hAnsi="Times New Roman"/>
          <w:lang w:eastAsia="ko-KR"/>
        </w:rPr>
        <w:t xml:space="preserve">such as fear of falling, concerns about safety, and vulnerability to weather </w:t>
      </w:r>
      <w:r w:rsidR="00546D81" w:rsidRPr="00935463">
        <w:rPr>
          <w:rFonts w:ascii="Times New Roman" w:eastAsiaTheme="minorEastAsia" w:hAnsi="Times New Roman"/>
          <w:lang w:eastAsia="ko-KR"/>
        </w:rPr>
        <w:t xml:space="preserve">conditions </w:t>
      </w:r>
      <w:r w:rsidR="00BA5840" w:rsidRPr="00935463">
        <w:rPr>
          <w:rFonts w:ascii="Times New Roman" w:eastAsiaTheme="minorEastAsia" w:hAnsi="Times New Roman"/>
          <w:lang w:eastAsia="ko-KR"/>
        </w:rPr>
        <w:fldChar w:fldCharType="begin"/>
      </w:r>
      <w:r w:rsidR="002F0EF8" w:rsidRPr="00935463">
        <w:rPr>
          <w:rFonts w:ascii="Times New Roman" w:eastAsiaTheme="minorEastAsia" w:hAnsi="Times New Roman"/>
          <w:lang w:eastAsia="ko-KR"/>
        </w:rPr>
        <w:instrText xml:space="preserve"> ADDIN ZOTERO_ITEM CSL_CITATION {"citationID":"lqUOjqsQ","properties":{"formattedCitation":"(Li et al., 2015)","plainCitation":"(Li et al., 2015)","dontUpdate":true,"noteIndex":0},"citationItems":[{"id":1002,"uris":["http://zotero.org/users/10132210/items/PQMQZKXI"],"itemData":{"id":1002,"type":"article-journal","abstract":"Objective: There is a limited research and understanding regarding the physical activity (PA) of older Asian Americans. This study examined the associations between neighborhood factors and walking among older Asian Americans. Method: Drawing from the 2003 California Health Interview Survey, our sample included 1,045 older adults aged 55 and above representing five Asian groups: Chinese, Filipino, Japanese, Korean, and Vietnamese. Zero-inflated negative binomial regression models were used to test the association between neighborhood factors and walking. Results: The results showed that different from the less active health profile among Asian Americans when compared with White adults, Asian older adults overall walked considerably more than White seniors. Higher neighborhood cohesion was associated with more walking among some groups but not all. Association between other neighborhood factors and walking varied among the ethnic groups. Discussion: Health promotion policies and programs should be strategically tailored for specific ethnic groups to more effectively promote PA among older Asian Americans.","container-title":"Journal of Aging and Health","DOI":"10.1177/0898264314535636","ISSN":"0898-2643, 1552-6887","issue":"1","journalAbbreviation":"J Aging Health","language":"en","page":"17-34","source":"DOI.org (Crossref)","title":"Correlates of Neighborhood Environment With Walking Among Older Asian Americans","volume":"27","author":[{"family":"Li","given":"Yawen"},{"family":"Kao","given":"Dennis"},{"family":"Dinh","given":"Tam Q."}],"issued":{"date-parts":[["2015",2]]}}}],"schema":"https://github.com/citation-style-language/schema/raw/master/csl-citation.json"} </w:instrText>
      </w:r>
      <w:r w:rsidR="00BA5840" w:rsidRPr="00935463">
        <w:rPr>
          <w:rFonts w:ascii="Times New Roman" w:eastAsiaTheme="minorEastAsia" w:hAnsi="Times New Roman"/>
          <w:lang w:eastAsia="ko-KR"/>
        </w:rPr>
        <w:fldChar w:fldCharType="separate"/>
      </w:r>
      <w:r w:rsidR="00BA5840" w:rsidRPr="00935463">
        <w:rPr>
          <w:rFonts w:ascii="Times New Roman" w:hAnsi="Times New Roman"/>
        </w:rPr>
        <w:t>(</w:t>
      </w:r>
      <w:r w:rsidR="0055041A" w:rsidRPr="00935463">
        <w:rPr>
          <w:rFonts w:ascii="Times New Roman" w:eastAsiaTheme="minorEastAsia" w:hAnsi="Times New Roman"/>
          <w:lang w:eastAsia="ko-KR"/>
        </w:rPr>
        <w:t xml:space="preserve">see, for example, </w:t>
      </w:r>
      <w:r w:rsidR="00BA5840" w:rsidRPr="00935463">
        <w:rPr>
          <w:rFonts w:ascii="Times New Roman" w:eastAsiaTheme="minorEastAsia" w:hAnsi="Times New Roman"/>
          <w:lang w:eastAsia="ko-KR"/>
        </w:rPr>
        <w:t xml:space="preserve"> </w:t>
      </w:r>
      <w:r w:rsidR="00BA5840" w:rsidRPr="00935463">
        <w:rPr>
          <w:rFonts w:ascii="Times New Roman" w:hAnsi="Times New Roman"/>
        </w:rPr>
        <w:t>Li et al., 2015)</w:t>
      </w:r>
      <w:r w:rsidR="00BA5840" w:rsidRPr="00935463">
        <w:rPr>
          <w:rFonts w:ascii="Times New Roman" w:eastAsiaTheme="minorEastAsia" w:hAnsi="Times New Roman"/>
          <w:lang w:eastAsia="ko-KR"/>
        </w:rPr>
        <w:fldChar w:fldCharType="end"/>
      </w:r>
      <w:r w:rsidR="00BA5840" w:rsidRPr="00935463">
        <w:rPr>
          <w:rFonts w:ascii="Times New Roman" w:eastAsiaTheme="minorEastAsia" w:hAnsi="Times New Roman"/>
          <w:lang w:eastAsia="ko-KR"/>
        </w:rPr>
        <w:t xml:space="preserve">. </w:t>
      </w:r>
      <w:r w:rsidR="00BA5840" w:rsidRPr="00935463">
        <w:rPr>
          <w:rFonts w:ascii="Times New Roman" w:eastAsiaTheme="minorEastAsia" w:hAnsi="Times New Roman"/>
          <w:u w:val="single"/>
          <w:lang w:eastAsia="ko-KR"/>
        </w:rPr>
        <w:t>Second</w:t>
      </w:r>
      <w:r w:rsidR="00BA5840" w:rsidRPr="00935463">
        <w:rPr>
          <w:rFonts w:ascii="Times New Roman" w:eastAsiaTheme="minorEastAsia" w:hAnsi="Times New Roman"/>
          <w:lang w:eastAsia="ko-KR"/>
        </w:rPr>
        <w:t xml:space="preserve">, </w:t>
      </w:r>
      <w:r w:rsidRPr="00935463">
        <w:rPr>
          <w:rFonts w:ascii="Times New Roman" w:eastAsiaTheme="minorEastAsia" w:hAnsi="Times New Roman"/>
          <w:lang w:eastAsia="ko-KR"/>
        </w:rPr>
        <w:t xml:space="preserve">our study highlighted specific </w:t>
      </w:r>
      <w:r w:rsidR="0055041A" w:rsidRPr="00935463">
        <w:rPr>
          <w:rFonts w:ascii="Times New Roman" w:eastAsiaTheme="minorEastAsia" w:hAnsi="Times New Roman"/>
          <w:lang w:eastAsia="ko-KR"/>
        </w:rPr>
        <w:t>socio</w:t>
      </w:r>
      <w:r w:rsidRPr="00935463">
        <w:rPr>
          <w:rFonts w:ascii="Times New Roman" w:eastAsiaTheme="minorEastAsia" w:hAnsi="Times New Roman"/>
          <w:lang w:eastAsia="ko-KR"/>
        </w:rPr>
        <w:t xml:space="preserve">demographic groups that </w:t>
      </w:r>
      <w:r w:rsidR="00E16AED">
        <w:rPr>
          <w:rFonts w:ascii="Times New Roman" w:eastAsiaTheme="minorEastAsia" w:hAnsi="Times New Roman"/>
          <w:lang w:eastAsia="ko-KR"/>
        </w:rPr>
        <w:t xml:space="preserve">may </w:t>
      </w:r>
      <w:r w:rsidRPr="00935463">
        <w:rPr>
          <w:rFonts w:ascii="Times New Roman" w:eastAsiaTheme="minorEastAsia" w:hAnsi="Times New Roman"/>
          <w:lang w:eastAsia="ko-KR"/>
        </w:rPr>
        <w:t xml:space="preserve">benefit from </w:t>
      </w:r>
      <w:r w:rsidR="00E16AED">
        <w:rPr>
          <w:rFonts w:ascii="Times New Roman" w:eastAsiaTheme="minorEastAsia" w:hAnsi="Times New Roman"/>
          <w:lang w:eastAsia="ko-KR"/>
        </w:rPr>
        <w:t xml:space="preserve">interventions that promote </w:t>
      </w:r>
      <w:r w:rsidRPr="00935463">
        <w:rPr>
          <w:rFonts w:ascii="Times New Roman" w:eastAsiaTheme="minorEastAsia" w:hAnsi="Times New Roman"/>
          <w:lang w:eastAsia="ko-KR"/>
        </w:rPr>
        <w:t xml:space="preserve">walking. To </w:t>
      </w:r>
      <w:r w:rsidR="00E16AED">
        <w:rPr>
          <w:rFonts w:ascii="Times New Roman" w:eastAsiaTheme="minorEastAsia" w:hAnsi="Times New Roman"/>
          <w:lang w:eastAsia="ko-KR"/>
        </w:rPr>
        <w:t>better inform the design of such interventions</w:t>
      </w:r>
      <w:r w:rsidR="00E10F54">
        <w:rPr>
          <w:rFonts w:ascii="Times New Roman" w:eastAsiaTheme="minorEastAsia" w:hAnsi="Times New Roman"/>
          <w:lang w:eastAsia="ko-KR"/>
        </w:rPr>
        <w:t xml:space="preserve"> among older adults</w:t>
      </w:r>
      <w:r w:rsidR="00E16AED">
        <w:rPr>
          <w:rFonts w:ascii="Times New Roman" w:eastAsiaTheme="minorEastAsia" w:hAnsi="Times New Roman"/>
          <w:lang w:eastAsia="ko-KR"/>
        </w:rPr>
        <w:t xml:space="preserve">, </w:t>
      </w:r>
      <w:r w:rsidR="00546D81" w:rsidRPr="00F424E8">
        <w:rPr>
          <w:rFonts w:ascii="Times New Roman" w:eastAsiaTheme="minorEastAsia" w:hAnsi="Times New Roman"/>
          <w:lang w:eastAsia="ko-KR"/>
        </w:rPr>
        <w:t xml:space="preserve">it </w:t>
      </w:r>
      <w:r w:rsidR="00E16AED">
        <w:rPr>
          <w:rFonts w:ascii="Times New Roman" w:eastAsiaTheme="minorEastAsia" w:hAnsi="Times New Roman"/>
          <w:lang w:eastAsia="ko-KR"/>
        </w:rPr>
        <w:t>w</w:t>
      </w:r>
      <w:r w:rsidR="00546D81" w:rsidRPr="00F424E8">
        <w:rPr>
          <w:rFonts w:ascii="Times New Roman" w:eastAsiaTheme="minorEastAsia" w:hAnsi="Times New Roman"/>
          <w:lang w:eastAsia="ko-KR"/>
        </w:rPr>
        <w:t>ould be beneficial</w:t>
      </w:r>
      <w:r w:rsidR="00BA5840" w:rsidRPr="00F424E8">
        <w:rPr>
          <w:rFonts w:ascii="Times New Roman" w:eastAsiaTheme="minorEastAsia" w:hAnsi="Times New Roman"/>
          <w:lang w:eastAsia="ko-KR"/>
        </w:rPr>
        <w:t xml:space="preserve"> </w:t>
      </w:r>
      <w:r w:rsidR="00546D81" w:rsidRPr="00F424E8">
        <w:rPr>
          <w:rFonts w:ascii="Times New Roman" w:eastAsiaTheme="minorEastAsia" w:hAnsi="Times New Roman"/>
          <w:lang w:eastAsia="ko-KR"/>
        </w:rPr>
        <w:t xml:space="preserve">to </w:t>
      </w:r>
      <w:r w:rsidR="00BA5840" w:rsidRPr="00F424E8">
        <w:rPr>
          <w:rFonts w:ascii="Times New Roman" w:eastAsiaTheme="minorEastAsia" w:hAnsi="Times New Roman"/>
          <w:lang w:eastAsia="ko-KR"/>
        </w:rPr>
        <w:t xml:space="preserve">collect </w:t>
      </w:r>
      <w:r w:rsidR="00E16AED">
        <w:rPr>
          <w:rFonts w:ascii="Times New Roman" w:eastAsiaTheme="minorEastAsia" w:hAnsi="Times New Roman"/>
          <w:lang w:eastAsia="ko-KR"/>
        </w:rPr>
        <w:t xml:space="preserve">subjective perceptions </w:t>
      </w:r>
      <w:r w:rsidR="00BA5840" w:rsidRPr="00F424E8">
        <w:rPr>
          <w:rFonts w:ascii="Times New Roman" w:eastAsiaTheme="minorEastAsia" w:hAnsi="Times New Roman"/>
          <w:lang w:eastAsia="ko-KR"/>
        </w:rPr>
        <w:t xml:space="preserve">on the barriers </w:t>
      </w:r>
      <w:r w:rsidR="00E16AED">
        <w:rPr>
          <w:rFonts w:ascii="Times New Roman" w:eastAsiaTheme="minorEastAsia" w:hAnsi="Times New Roman"/>
          <w:lang w:eastAsia="ko-KR"/>
        </w:rPr>
        <w:t xml:space="preserve">and </w:t>
      </w:r>
      <w:r w:rsidR="00BA5840" w:rsidRPr="00F424E8">
        <w:rPr>
          <w:rFonts w:ascii="Times New Roman" w:eastAsiaTheme="minorEastAsia" w:hAnsi="Times New Roman"/>
          <w:lang w:eastAsia="ko-KR"/>
        </w:rPr>
        <w:t xml:space="preserve">concerns that </w:t>
      </w:r>
      <w:r w:rsidR="00D1345E" w:rsidRPr="00F424E8">
        <w:rPr>
          <w:rFonts w:ascii="Times New Roman" w:eastAsiaTheme="minorEastAsia" w:hAnsi="Times New Roman"/>
          <w:lang w:eastAsia="ko-KR"/>
        </w:rPr>
        <w:t xml:space="preserve">influence </w:t>
      </w:r>
      <w:r w:rsidR="00BA5840" w:rsidRPr="00F424E8">
        <w:rPr>
          <w:rFonts w:ascii="Times New Roman" w:eastAsiaTheme="minorEastAsia" w:hAnsi="Times New Roman"/>
          <w:lang w:eastAsia="ko-KR"/>
        </w:rPr>
        <w:t>walking behavior</w:t>
      </w:r>
      <w:r w:rsidR="00E10F54">
        <w:rPr>
          <w:rFonts w:ascii="Times New Roman" w:eastAsiaTheme="minorEastAsia" w:hAnsi="Times New Roman"/>
          <w:lang w:eastAsia="ko-KR"/>
        </w:rPr>
        <w:t>s</w:t>
      </w:r>
      <w:r w:rsidR="00BA5840" w:rsidRPr="00F424E8">
        <w:rPr>
          <w:rFonts w:ascii="Times New Roman" w:eastAsiaTheme="minorEastAsia" w:hAnsi="Times New Roman"/>
          <w:lang w:eastAsia="ko-KR"/>
        </w:rPr>
        <w:t xml:space="preserve">. </w:t>
      </w:r>
      <w:r w:rsidR="00B25033" w:rsidRPr="00F424E8">
        <w:rPr>
          <w:rFonts w:ascii="Times New Roman" w:eastAsiaTheme="minorEastAsia" w:hAnsi="Times New Roman"/>
          <w:u w:val="single"/>
          <w:lang w:eastAsia="ko-KR"/>
        </w:rPr>
        <w:t>Third</w:t>
      </w:r>
      <w:r w:rsidR="00BA5840" w:rsidRPr="00F424E8">
        <w:rPr>
          <w:rFonts w:ascii="Times New Roman" w:eastAsiaTheme="minorEastAsia" w:hAnsi="Times New Roman"/>
          <w:lang w:eastAsia="ko-KR"/>
        </w:rPr>
        <w:t xml:space="preserve">, </w:t>
      </w:r>
      <w:r w:rsidR="00546D81" w:rsidRPr="00F424E8">
        <w:rPr>
          <w:rFonts w:ascii="Times New Roman" w:eastAsiaTheme="minorEastAsia" w:hAnsi="Times New Roman"/>
          <w:lang w:eastAsia="ko-KR"/>
        </w:rPr>
        <w:t>since utilitarian and leisure walking</w:t>
      </w:r>
      <w:r w:rsidR="00B25033" w:rsidRPr="00F424E8">
        <w:rPr>
          <w:rFonts w:ascii="Times New Roman" w:eastAsiaTheme="minorEastAsia" w:hAnsi="Times New Roman"/>
          <w:lang w:eastAsia="ko-KR"/>
        </w:rPr>
        <w:t xml:space="preserve"> trips</w:t>
      </w:r>
      <w:r w:rsidR="00546D81" w:rsidRPr="00F424E8">
        <w:rPr>
          <w:rFonts w:ascii="Times New Roman" w:eastAsiaTheme="minorEastAsia" w:hAnsi="Times New Roman"/>
          <w:lang w:eastAsia="ko-KR"/>
        </w:rPr>
        <w:t xml:space="preserve"> have distinct characteristics, analyzing them as separate behaviors </w:t>
      </w:r>
      <w:r w:rsidR="00E16AED">
        <w:rPr>
          <w:rFonts w:ascii="Times New Roman" w:eastAsiaTheme="minorEastAsia" w:hAnsi="Times New Roman"/>
          <w:lang w:eastAsia="ko-KR"/>
        </w:rPr>
        <w:t>w</w:t>
      </w:r>
      <w:r w:rsidR="00546D81" w:rsidRPr="00F424E8">
        <w:rPr>
          <w:rFonts w:ascii="Times New Roman" w:eastAsiaTheme="minorEastAsia" w:hAnsi="Times New Roman"/>
          <w:lang w:eastAsia="ko-KR"/>
        </w:rPr>
        <w:t xml:space="preserve">ould provide deeper insights. </w:t>
      </w:r>
    </w:p>
    <w:bookmarkEnd w:id="44"/>
    <w:p w14:paraId="2B1A6CE7" w14:textId="14A6A681" w:rsidR="00D631DD" w:rsidRDefault="00D631DD" w:rsidP="00662E40">
      <w:pPr>
        <w:rPr>
          <w:rFonts w:ascii="Times New Roman" w:hAnsi="Times New Roman"/>
          <w:b/>
          <w:bCs/>
        </w:rPr>
      </w:pPr>
    </w:p>
    <w:p w14:paraId="304201E9" w14:textId="77777777" w:rsidR="003964C4" w:rsidRPr="00DC75F1" w:rsidRDefault="003964C4" w:rsidP="003964C4">
      <w:pPr>
        <w:rPr>
          <w:b/>
          <w:bCs/>
          <w:color w:val="000000" w:themeColor="text1"/>
        </w:rPr>
      </w:pPr>
      <w:r w:rsidRPr="00DC75F1">
        <w:rPr>
          <w:b/>
          <w:bCs/>
          <w:caps/>
        </w:rPr>
        <w:t>AcknowledgEments</w:t>
      </w:r>
    </w:p>
    <w:p w14:paraId="6F501C3C" w14:textId="77777777" w:rsidR="003964C4" w:rsidRDefault="003964C4" w:rsidP="003964C4">
      <w:pPr>
        <w:jc w:val="both"/>
      </w:pPr>
      <w:r w:rsidRPr="00351D1D">
        <w:t>This research was partially supported by the U.S. Department of Transportation through the Center for Understanding Future Travel Behavior and Demand (TBD) (Grant No. 69A3552344815 and No. 69A3552348320).</w:t>
      </w:r>
      <w:r>
        <w:t xml:space="preserve"> The authors are grateful to Lisa Macias for her help in formatting this document.</w:t>
      </w:r>
      <w:r w:rsidRPr="00F01655">
        <w:t xml:space="preserve"> </w:t>
      </w:r>
    </w:p>
    <w:p w14:paraId="5449719E" w14:textId="77777777" w:rsidR="003964C4" w:rsidRDefault="003964C4" w:rsidP="00662E40">
      <w:pPr>
        <w:rPr>
          <w:rFonts w:ascii="Times New Roman" w:hAnsi="Times New Roman"/>
          <w:b/>
          <w:bCs/>
        </w:rPr>
      </w:pPr>
    </w:p>
    <w:p w14:paraId="176EA4C4" w14:textId="797D6328" w:rsidR="0017394C" w:rsidRPr="00662E40" w:rsidRDefault="003964C4" w:rsidP="00662E40">
      <w:pPr>
        <w:pStyle w:val="Heading1"/>
        <w:numPr>
          <w:ilvl w:val="0"/>
          <w:numId w:val="0"/>
        </w:numPr>
        <w:spacing w:line="240" w:lineRule="auto"/>
        <w:contextualSpacing w:val="0"/>
        <w:rPr>
          <w:szCs w:val="24"/>
        </w:rPr>
      </w:pPr>
      <w:r>
        <w:rPr>
          <w:szCs w:val="24"/>
        </w:rPr>
        <w:t>REFERENCES</w:t>
      </w:r>
    </w:p>
    <w:p w14:paraId="5AEEEEA0" w14:textId="77777777" w:rsidR="00A9351C" w:rsidRPr="00662E40" w:rsidRDefault="00400D59"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fldChar w:fldCharType="begin"/>
      </w:r>
      <w:r w:rsidR="003828FC" w:rsidRPr="00662E40">
        <w:rPr>
          <w:rFonts w:ascii="Times New Roman" w:hAnsi="Times New Roman"/>
          <w:szCs w:val="24"/>
        </w:rPr>
        <w:instrText xml:space="preserve"> ADDIN ZOTERO_BIBL {"uncited":[],"omitted":[],"custom":[]} CSL_BIBLIOGRAPHY </w:instrText>
      </w:r>
      <w:r w:rsidRPr="00662E40">
        <w:rPr>
          <w:rFonts w:ascii="Times New Roman" w:hAnsi="Times New Roman"/>
          <w:szCs w:val="24"/>
        </w:rPr>
        <w:fldChar w:fldCharType="separate"/>
      </w:r>
      <w:r w:rsidR="00A9351C" w:rsidRPr="00662E40">
        <w:rPr>
          <w:rFonts w:ascii="Times New Roman" w:hAnsi="Times New Roman"/>
          <w:szCs w:val="24"/>
        </w:rPr>
        <w:t xml:space="preserve">AARP. (2023). </w:t>
      </w:r>
      <w:r w:rsidR="00A9351C" w:rsidRPr="00662E40">
        <w:rPr>
          <w:rFonts w:ascii="Times New Roman" w:hAnsi="Times New Roman"/>
          <w:i/>
          <w:iCs/>
          <w:szCs w:val="24"/>
        </w:rPr>
        <w:t>AARP Walking Survey: Attitudes and Habits of Adults Aged 50 and Older</w:t>
      </w:r>
      <w:r w:rsidR="00A9351C" w:rsidRPr="00662E40">
        <w:rPr>
          <w:rFonts w:ascii="Times New Roman" w:hAnsi="Times New Roman"/>
          <w:szCs w:val="24"/>
        </w:rPr>
        <w:t>. https://doi.org/10.25940/ROPER-31120071</w:t>
      </w:r>
    </w:p>
    <w:p w14:paraId="1B4544B9"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AARP, &amp; NORC. (2022). </w:t>
      </w:r>
      <w:r w:rsidRPr="00662E40">
        <w:rPr>
          <w:rFonts w:ascii="Times New Roman" w:hAnsi="Times New Roman"/>
          <w:i/>
          <w:iCs/>
          <w:szCs w:val="24"/>
        </w:rPr>
        <w:t>Foresight 50+ demographics report</w:t>
      </w:r>
      <w:r w:rsidRPr="00662E40">
        <w:rPr>
          <w:rFonts w:ascii="Times New Roman" w:hAnsi="Times New Roman"/>
          <w:szCs w:val="24"/>
        </w:rPr>
        <w:t>. https://www.norc.org/content/dam/norc-org/pdfs/FINAL%20-%20Demographic%20Report%20for%20Foresight%2050+%20--%20April%202022.pdf</w:t>
      </w:r>
    </w:p>
    <w:p w14:paraId="4B6A2374"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Abd El-Shafy, I., Savino, J., Christopherson, N. A. M., &amp; Prince, J. M. (2017). Reduction of pediatric pedestrian hazardous road conditions in a school drop-off zone using video review. </w:t>
      </w:r>
      <w:r w:rsidRPr="00662E40">
        <w:rPr>
          <w:rFonts w:ascii="Times New Roman" w:hAnsi="Times New Roman"/>
          <w:i/>
          <w:iCs/>
          <w:szCs w:val="24"/>
        </w:rPr>
        <w:t>Journal of Trauma and Acute Care Surgery</w:t>
      </w:r>
      <w:r w:rsidRPr="00662E40">
        <w:rPr>
          <w:rFonts w:ascii="Times New Roman" w:hAnsi="Times New Roman"/>
          <w:szCs w:val="24"/>
        </w:rPr>
        <w:t xml:space="preserve">, </w:t>
      </w:r>
      <w:r w:rsidRPr="00662E40">
        <w:rPr>
          <w:rFonts w:ascii="Times New Roman" w:hAnsi="Times New Roman"/>
          <w:i/>
          <w:iCs/>
          <w:szCs w:val="24"/>
        </w:rPr>
        <w:t>83</w:t>
      </w:r>
      <w:r w:rsidRPr="00662E40">
        <w:rPr>
          <w:rFonts w:ascii="Times New Roman" w:hAnsi="Times New Roman"/>
          <w:szCs w:val="24"/>
        </w:rPr>
        <w:t>(5S), S227–S232. https://doi.org/10.1097/TA.0000000000001599</w:t>
      </w:r>
    </w:p>
    <w:p w14:paraId="41DF0676"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Aliyas, Z. (2020). Why Some Walk and Others Don’t: Neighborhood Safety and the Sociodemographic Variation Effect on Walking for Leisure and Transportation. </w:t>
      </w:r>
      <w:r w:rsidRPr="00662E40">
        <w:rPr>
          <w:rFonts w:ascii="Times New Roman" w:hAnsi="Times New Roman"/>
          <w:i/>
          <w:iCs/>
          <w:szCs w:val="24"/>
        </w:rPr>
        <w:t>Journal of Public Health Management and Practice</w:t>
      </w:r>
      <w:r w:rsidRPr="00662E40">
        <w:rPr>
          <w:rFonts w:ascii="Times New Roman" w:hAnsi="Times New Roman"/>
          <w:szCs w:val="24"/>
        </w:rPr>
        <w:t xml:space="preserve">, </w:t>
      </w:r>
      <w:r w:rsidRPr="00662E40">
        <w:rPr>
          <w:rFonts w:ascii="Times New Roman" w:hAnsi="Times New Roman"/>
          <w:i/>
          <w:iCs/>
          <w:szCs w:val="24"/>
        </w:rPr>
        <w:t>26</w:t>
      </w:r>
      <w:r w:rsidRPr="00662E40">
        <w:rPr>
          <w:rFonts w:ascii="Times New Roman" w:hAnsi="Times New Roman"/>
          <w:szCs w:val="24"/>
        </w:rPr>
        <w:t>(4), Article 4. https://doi.org/10.1097/PHH.0000000000000992</w:t>
      </w:r>
    </w:p>
    <w:p w14:paraId="2407B73C"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American Heart Association. (2024). </w:t>
      </w:r>
      <w:r w:rsidRPr="00662E40">
        <w:rPr>
          <w:rFonts w:ascii="Times New Roman" w:hAnsi="Times New Roman"/>
          <w:i/>
          <w:iCs/>
          <w:szCs w:val="24"/>
        </w:rPr>
        <w:t>Start or Join a Walking Club</w:t>
      </w:r>
      <w:r w:rsidRPr="00662E40">
        <w:rPr>
          <w:rFonts w:ascii="Times New Roman" w:hAnsi="Times New Roman"/>
          <w:szCs w:val="24"/>
        </w:rPr>
        <w:t>. https://www.heart.org/en/healthy-living/fitness/walking/start-or-join-a-walking-club</w:t>
      </w:r>
    </w:p>
    <w:p w14:paraId="570D2E85"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Arroyo, R., Ruiz, T., Mars, L., Rasouli, S., &amp; Timmermans, H. (2020). Influence of values, attitudes towards transport modes and companions on travel behavior. </w:t>
      </w:r>
      <w:r w:rsidRPr="00662E40">
        <w:rPr>
          <w:rFonts w:ascii="Times New Roman" w:hAnsi="Times New Roman"/>
          <w:i/>
          <w:iCs/>
          <w:szCs w:val="24"/>
        </w:rPr>
        <w:t>Transportation Research Part F: Traffic Psychology and Behaviour</w:t>
      </w:r>
      <w:r w:rsidRPr="00662E40">
        <w:rPr>
          <w:rFonts w:ascii="Times New Roman" w:hAnsi="Times New Roman"/>
          <w:szCs w:val="24"/>
        </w:rPr>
        <w:t xml:space="preserve">, </w:t>
      </w:r>
      <w:r w:rsidRPr="00662E40">
        <w:rPr>
          <w:rFonts w:ascii="Times New Roman" w:hAnsi="Times New Roman"/>
          <w:i/>
          <w:iCs/>
          <w:szCs w:val="24"/>
        </w:rPr>
        <w:t>71</w:t>
      </w:r>
      <w:r w:rsidRPr="00662E40">
        <w:rPr>
          <w:rFonts w:ascii="Times New Roman" w:hAnsi="Times New Roman"/>
          <w:szCs w:val="24"/>
        </w:rPr>
        <w:t>, 8–22. https://doi.org/10.1016/j.trf.2020.04.002</w:t>
      </w:r>
    </w:p>
    <w:p w14:paraId="2FBE8739" w14:textId="77777777" w:rsidR="00A9351C" w:rsidRPr="00662E40" w:rsidRDefault="00A9351C" w:rsidP="003964C4">
      <w:pPr>
        <w:pStyle w:val="Bibliography"/>
        <w:keepLines/>
        <w:spacing w:line="240" w:lineRule="auto"/>
        <w:ind w:left="540" w:hanging="540"/>
        <w:rPr>
          <w:rFonts w:ascii="Times New Roman" w:hAnsi="Times New Roman"/>
          <w:szCs w:val="24"/>
        </w:rPr>
      </w:pPr>
      <w:r w:rsidRPr="00662E40">
        <w:rPr>
          <w:rFonts w:ascii="Times New Roman" w:hAnsi="Times New Roman"/>
          <w:szCs w:val="24"/>
        </w:rPr>
        <w:lastRenderedPageBreak/>
        <w:t xml:space="preserve">Beauchamp, M. K., Joshi, D., McMillan, J., Erbas Oz, U., Griffith, L. E., Basta, N. E., Kirkland, S., Wolfson, C., Raina, P., Canadian Longitudinal Study on Aging (CLSA) Team, Costa, A., Anderson, L., Balion, C., Yukiko, A., Cossette, B., Levasseur, M., Hofer, S., Paterson, T., Hogan, D., … Cosco, T. (2022). Assessment of Functional Mobility After COVID-19 in Adults Aged 50 Years or Older in the Canadian Longitudinal Study on Aging. </w:t>
      </w:r>
      <w:r w:rsidRPr="00662E40">
        <w:rPr>
          <w:rFonts w:ascii="Times New Roman" w:hAnsi="Times New Roman"/>
          <w:i/>
          <w:iCs/>
          <w:szCs w:val="24"/>
        </w:rPr>
        <w:t>JAMA Network Open</w:t>
      </w:r>
      <w:r w:rsidRPr="00662E40">
        <w:rPr>
          <w:rFonts w:ascii="Times New Roman" w:hAnsi="Times New Roman"/>
          <w:szCs w:val="24"/>
        </w:rPr>
        <w:t xml:space="preserve">, </w:t>
      </w:r>
      <w:r w:rsidRPr="00662E40">
        <w:rPr>
          <w:rFonts w:ascii="Times New Roman" w:hAnsi="Times New Roman"/>
          <w:i/>
          <w:iCs/>
          <w:szCs w:val="24"/>
        </w:rPr>
        <w:t>5</w:t>
      </w:r>
      <w:r w:rsidRPr="00662E40">
        <w:rPr>
          <w:rFonts w:ascii="Times New Roman" w:hAnsi="Times New Roman"/>
          <w:szCs w:val="24"/>
        </w:rPr>
        <w:t>(1), e2146168. https://doi.org/10.1001/jamanetworkopen.2021.46168</w:t>
      </w:r>
    </w:p>
    <w:p w14:paraId="3B56668E"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Bengfort, H. (2023). </w:t>
      </w:r>
      <w:r w:rsidRPr="00662E40">
        <w:rPr>
          <w:rFonts w:ascii="Times New Roman" w:hAnsi="Times New Roman"/>
          <w:i/>
          <w:iCs/>
          <w:szCs w:val="24"/>
        </w:rPr>
        <w:t>What are health insurance rewards programs, and how do they impact HRAs?</w:t>
      </w:r>
      <w:r w:rsidRPr="00662E40">
        <w:rPr>
          <w:rFonts w:ascii="Times New Roman" w:hAnsi="Times New Roman"/>
          <w:szCs w:val="24"/>
        </w:rPr>
        <w:t xml:space="preserve"> https://www.peoplekeep.com/blog/what-are-health-insurance-rewards-programs</w:t>
      </w:r>
    </w:p>
    <w:p w14:paraId="7CA92F0C"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Bereitschaft, B. (2017). Equity in neighbourhood walkability? A comparative analysis of three large U.S. cities. </w:t>
      </w:r>
      <w:r w:rsidRPr="00662E40">
        <w:rPr>
          <w:rFonts w:ascii="Times New Roman" w:hAnsi="Times New Roman"/>
          <w:i/>
          <w:iCs/>
          <w:szCs w:val="24"/>
        </w:rPr>
        <w:t>Local Environment</w:t>
      </w:r>
      <w:r w:rsidRPr="00662E40">
        <w:rPr>
          <w:rFonts w:ascii="Times New Roman" w:hAnsi="Times New Roman"/>
          <w:szCs w:val="24"/>
        </w:rPr>
        <w:t xml:space="preserve">, </w:t>
      </w:r>
      <w:r w:rsidRPr="00662E40">
        <w:rPr>
          <w:rFonts w:ascii="Times New Roman" w:hAnsi="Times New Roman"/>
          <w:i/>
          <w:iCs/>
          <w:szCs w:val="24"/>
        </w:rPr>
        <w:t>22</w:t>
      </w:r>
      <w:r w:rsidRPr="00662E40">
        <w:rPr>
          <w:rFonts w:ascii="Times New Roman" w:hAnsi="Times New Roman"/>
          <w:szCs w:val="24"/>
        </w:rPr>
        <w:t>(7), 859–879. https://doi.org/10.1080/13549839.2017.1297390</w:t>
      </w:r>
    </w:p>
    <w:p w14:paraId="017EDAEC"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Bergen, K., Jubenvill, M., Shaw, K., Steen, E., Loewen, H., Mbabaali, S., &amp; Barclay, R. (2023). Factors Associated with Outdoor Winter Walking in Older Adults: A Scoping Review. </w:t>
      </w:r>
      <w:r w:rsidRPr="00662E40">
        <w:rPr>
          <w:rFonts w:ascii="Times New Roman" w:hAnsi="Times New Roman"/>
          <w:i/>
          <w:iCs/>
          <w:szCs w:val="24"/>
        </w:rPr>
        <w:t>Canadian Journal on Aging / La Revue Canadienne Du Vieillissement</w:t>
      </w:r>
      <w:r w:rsidRPr="00662E40">
        <w:rPr>
          <w:rFonts w:ascii="Times New Roman" w:hAnsi="Times New Roman"/>
          <w:szCs w:val="24"/>
        </w:rPr>
        <w:t xml:space="preserve">, </w:t>
      </w:r>
      <w:r w:rsidRPr="00662E40">
        <w:rPr>
          <w:rFonts w:ascii="Times New Roman" w:hAnsi="Times New Roman"/>
          <w:i/>
          <w:iCs/>
          <w:szCs w:val="24"/>
        </w:rPr>
        <w:t>42</w:t>
      </w:r>
      <w:r w:rsidRPr="00662E40">
        <w:rPr>
          <w:rFonts w:ascii="Times New Roman" w:hAnsi="Times New Roman"/>
          <w:szCs w:val="24"/>
        </w:rPr>
        <w:t>(2), 316–327. https://doi.org/10.1017/S0714980822000460</w:t>
      </w:r>
    </w:p>
    <w:p w14:paraId="7AA13113"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Bhat, C. R. (2015). A new generalized heterogeneous data model (GHDM) to jointly model mixed types of dependent variables. </w:t>
      </w:r>
      <w:r w:rsidRPr="00662E40">
        <w:rPr>
          <w:rFonts w:ascii="Times New Roman" w:hAnsi="Times New Roman"/>
          <w:i/>
          <w:iCs/>
          <w:szCs w:val="24"/>
        </w:rPr>
        <w:t>Transportation Research Part B: Methodological</w:t>
      </w:r>
      <w:r w:rsidRPr="00662E40">
        <w:rPr>
          <w:rFonts w:ascii="Times New Roman" w:hAnsi="Times New Roman"/>
          <w:szCs w:val="24"/>
        </w:rPr>
        <w:t xml:space="preserve">, </w:t>
      </w:r>
      <w:r w:rsidRPr="00662E40">
        <w:rPr>
          <w:rFonts w:ascii="Times New Roman" w:hAnsi="Times New Roman"/>
          <w:i/>
          <w:iCs/>
          <w:szCs w:val="24"/>
        </w:rPr>
        <w:t>79</w:t>
      </w:r>
      <w:r w:rsidRPr="00662E40">
        <w:rPr>
          <w:rFonts w:ascii="Times New Roman" w:hAnsi="Times New Roman"/>
          <w:szCs w:val="24"/>
        </w:rPr>
        <w:t>, 50–77. https://doi.org/10.1016/j.trb.2015.05.017</w:t>
      </w:r>
    </w:p>
    <w:p w14:paraId="14E49F97"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Bhat, C. R. (2018). New matrix-based methods for the analytic evaluation of the multivariate cumulative normal distribution function. </w:t>
      </w:r>
      <w:r w:rsidRPr="00662E40">
        <w:rPr>
          <w:rFonts w:ascii="Times New Roman" w:hAnsi="Times New Roman"/>
          <w:i/>
          <w:iCs/>
          <w:szCs w:val="24"/>
        </w:rPr>
        <w:t>Transportation Research Part B: Methodological</w:t>
      </w:r>
      <w:r w:rsidRPr="00662E40">
        <w:rPr>
          <w:rFonts w:ascii="Times New Roman" w:hAnsi="Times New Roman"/>
          <w:szCs w:val="24"/>
        </w:rPr>
        <w:t xml:space="preserve">, </w:t>
      </w:r>
      <w:r w:rsidRPr="00662E40">
        <w:rPr>
          <w:rFonts w:ascii="Times New Roman" w:hAnsi="Times New Roman"/>
          <w:i/>
          <w:iCs/>
          <w:szCs w:val="24"/>
        </w:rPr>
        <w:t>109</w:t>
      </w:r>
      <w:r w:rsidRPr="00662E40">
        <w:rPr>
          <w:rFonts w:ascii="Times New Roman" w:hAnsi="Times New Roman"/>
          <w:szCs w:val="24"/>
        </w:rPr>
        <w:t>, 238–256. https://doi.org/10.1016/j.trb.2018.01.011</w:t>
      </w:r>
    </w:p>
    <w:p w14:paraId="21CB2246"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Bhat, C. R. (2024). </w:t>
      </w:r>
      <w:r w:rsidRPr="00662E40">
        <w:rPr>
          <w:rFonts w:ascii="Times New Roman" w:hAnsi="Times New Roman"/>
          <w:i/>
          <w:iCs/>
          <w:szCs w:val="24"/>
        </w:rPr>
        <w:t>Transformation-Based Generalization of Ordered-Response Probit Models with Dummy Endogenous Regressors</w:t>
      </w:r>
      <w:r w:rsidRPr="00662E40">
        <w:rPr>
          <w:rFonts w:ascii="Times New Roman" w:hAnsi="Times New Roman"/>
          <w:szCs w:val="24"/>
        </w:rPr>
        <w:t>. https://www.caee.utexas.edu/prof/bhat/ABSTRACTS/Transformation.pdf</w:t>
      </w:r>
    </w:p>
    <w:p w14:paraId="08EE96AC"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Bhat, C. R., Astroza, S., Bhat, A. C., &amp; Nagel, K. (2016). Incorporating a multiple discrete-continuous outcome in the generalized heterogeneous data model: Application to residential self-selection effects analysis in an activity time-use behavior model. </w:t>
      </w:r>
      <w:r w:rsidRPr="00662E40">
        <w:rPr>
          <w:rFonts w:ascii="Times New Roman" w:hAnsi="Times New Roman"/>
          <w:i/>
          <w:iCs/>
          <w:szCs w:val="24"/>
        </w:rPr>
        <w:t>Transportation Research Part B: Methodological</w:t>
      </w:r>
      <w:r w:rsidRPr="00662E40">
        <w:rPr>
          <w:rFonts w:ascii="Times New Roman" w:hAnsi="Times New Roman"/>
          <w:szCs w:val="24"/>
        </w:rPr>
        <w:t xml:space="preserve">, </w:t>
      </w:r>
      <w:r w:rsidRPr="00662E40">
        <w:rPr>
          <w:rFonts w:ascii="Times New Roman" w:hAnsi="Times New Roman"/>
          <w:i/>
          <w:iCs/>
          <w:szCs w:val="24"/>
        </w:rPr>
        <w:t>91</w:t>
      </w:r>
      <w:r w:rsidRPr="00662E40">
        <w:rPr>
          <w:rFonts w:ascii="Times New Roman" w:hAnsi="Times New Roman"/>
          <w:szCs w:val="24"/>
        </w:rPr>
        <w:t>, 52–76. https://doi.org/10.1016/j.trb.2016.03.007</w:t>
      </w:r>
    </w:p>
    <w:p w14:paraId="441703A6"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Bhat, C. R., &amp; Guo, J. Y. (2007). A comprehensive analysis of built environment characteristics on household residential choice and auto ownership levels. </w:t>
      </w:r>
      <w:r w:rsidRPr="00662E40">
        <w:rPr>
          <w:rFonts w:ascii="Times New Roman" w:hAnsi="Times New Roman"/>
          <w:i/>
          <w:iCs/>
          <w:szCs w:val="24"/>
        </w:rPr>
        <w:t>Transportation Research Part B: Methodological</w:t>
      </w:r>
      <w:r w:rsidRPr="00662E40">
        <w:rPr>
          <w:rFonts w:ascii="Times New Roman" w:hAnsi="Times New Roman"/>
          <w:szCs w:val="24"/>
        </w:rPr>
        <w:t xml:space="preserve">, </w:t>
      </w:r>
      <w:r w:rsidRPr="00662E40">
        <w:rPr>
          <w:rFonts w:ascii="Times New Roman" w:hAnsi="Times New Roman"/>
          <w:i/>
          <w:iCs/>
          <w:szCs w:val="24"/>
        </w:rPr>
        <w:t>41</w:t>
      </w:r>
      <w:r w:rsidRPr="00662E40">
        <w:rPr>
          <w:rFonts w:ascii="Times New Roman" w:hAnsi="Times New Roman"/>
          <w:szCs w:val="24"/>
        </w:rPr>
        <w:t>(5), 506–526. https://doi.org/10.1016/j.trb.2005.12.005</w:t>
      </w:r>
    </w:p>
    <w:p w14:paraId="41F3D5DD"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Bhat, C. R., Varin, C., &amp; Ferdous, N. (2010). A comparison of the maximum simulated likelihood and composite marginal likelihood estimation approaches in the context of the multivariate ordered-response model. In W. Greene &amp; R. Carter Hill (Eds.), </w:t>
      </w:r>
      <w:r w:rsidRPr="00662E40">
        <w:rPr>
          <w:rFonts w:ascii="Times New Roman" w:hAnsi="Times New Roman"/>
          <w:i/>
          <w:iCs/>
          <w:szCs w:val="24"/>
        </w:rPr>
        <w:t>Maximum Simulated Likelihood Methods and Applications</w:t>
      </w:r>
      <w:r w:rsidRPr="00662E40">
        <w:rPr>
          <w:rFonts w:ascii="Times New Roman" w:hAnsi="Times New Roman"/>
          <w:szCs w:val="24"/>
        </w:rPr>
        <w:t xml:space="preserve"> (Vol. 26, pp. 65–106). Emerald Group Publishing Limited. https://doi.org/10.1108/S0731-9053(2010)0000026007</w:t>
      </w:r>
    </w:p>
    <w:p w14:paraId="426061F7"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Bokolo Jnr, A. (2024). Examining the Use of Intelligent Conversational Voice-Assistants for Improved Mobility Behavior of Older Adults in Smart Cities. </w:t>
      </w:r>
      <w:r w:rsidRPr="00662E40">
        <w:rPr>
          <w:rFonts w:ascii="Times New Roman" w:hAnsi="Times New Roman"/>
          <w:i/>
          <w:iCs/>
          <w:szCs w:val="24"/>
        </w:rPr>
        <w:t>International Journal of Human–Computer Interaction</w:t>
      </w:r>
      <w:r w:rsidRPr="00662E40">
        <w:rPr>
          <w:rFonts w:ascii="Times New Roman" w:hAnsi="Times New Roman"/>
          <w:szCs w:val="24"/>
        </w:rPr>
        <w:t>, 1–22. https://doi.org/10.1080/10447318.2024.2344145</w:t>
      </w:r>
    </w:p>
    <w:p w14:paraId="069B230A"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British Heart Foundation. (2024). </w:t>
      </w:r>
      <w:r w:rsidRPr="00662E40">
        <w:rPr>
          <w:rFonts w:ascii="Times New Roman" w:hAnsi="Times New Roman"/>
          <w:i/>
          <w:iCs/>
          <w:szCs w:val="24"/>
        </w:rPr>
        <w:t>How a walking group can help you to get moving</w:t>
      </w:r>
      <w:r w:rsidRPr="00662E40">
        <w:rPr>
          <w:rFonts w:ascii="Times New Roman" w:hAnsi="Times New Roman"/>
          <w:szCs w:val="24"/>
        </w:rPr>
        <w:t>. https://www.bhf.org.uk/informationsupport/heart-matters-magazine/activity/walking/walking-groups</w:t>
      </w:r>
    </w:p>
    <w:p w14:paraId="089BF61A" w14:textId="77777777" w:rsidR="00A9351C" w:rsidRPr="00662E40" w:rsidRDefault="00A9351C" w:rsidP="003964C4">
      <w:pPr>
        <w:pStyle w:val="Bibliography"/>
        <w:keepLines/>
        <w:spacing w:line="240" w:lineRule="auto"/>
        <w:ind w:left="540" w:hanging="540"/>
        <w:rPr>
          <w:rFonts w:ascii="Times New Roman" w:hAnsi="Times New Roman"/>
          <w:szCs w:val="24"/>
        </w:rPr>
      </w:pPr>
      <w:r w:rsidRPr="00662E40">
        <w:rPr>
          <w:rFonts w:ascii="Times New Roman" w:hAnsi="Times New Roman"/>
          <w:szCs w:val="24"/>
        </w:rPr>
        <w:lastRenderedPageBreak/>
        <w:t xml:space="preserve">Bull, F. C., Al-Ansari, S. S., Biddle, S., Borodulin, K., Buman, M. P., Cardon, G., Carty, C., Chaput, J.-P., Chastin, S., Chou, R., Dempsey, P. C., DiPietro, L., Ekelund, U., Firth, J., Friedenreich, C. M., Garcia, L., Gichu, M., Jago, R., Katzmarzyk, P. T., … Willumsen, J. F. (2020). World Health Organization 2020 guidelines on physical activity and sedentary behaviour. </w:t>
      </w:r>
      <w:r w:rsidRPr="00662E40">
        <w:rPr>
          <w:rFonts w:ascii="Times New Roman" w:hAnsi="Times New Roman"/>
          <w:i/>
          <w:iCs/>
          <w:szCs w:val="24"/>
        </w:rPr>
        <w:t>British Journal of Sports Medicine</w:t>
      </w:r>
      <w:r w:rsidRPr="00662E40">
        <w:rPr>
          <w:rFonts w:ascii="Times New Roman" w:hAnsi="Times New Roman"/>
          <w:szCs w:val="24"/>
        </w:rPr>
        <w:t xml:space="preserve">, </w:t>
      </w:r>
      <w:r w:rsidRPr="00662E40">
        <w:rPr>
          <w:rFonts w:ascii="Times New Roman" w:hAnsi="Times New Roman"/>
          <w:i/>
          <w:iCs/>
          <w:szCs w:val="24"/>
        </w:rPr>
        <w:t>54</w:t>
      </w:r>
      <w:r w:rsidRPr="00662E40">
        <w:rPr>
          <w:rFonts w:ascii="Times New Roman" w:hAnsi="Times New Roman"/>
          <w:szCs w:val="24"/>
        </w:rPr>
        <w:t>(24), 1451–1462. https://doi.org/10.1136/bjsports-2020-102955</w:t>
      </w:r>
    </w:p>
    <w:p w14:paraId="623CF126"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Bushman, B. A. (2020). Exercise for Prevention of Chronic Diseases. </w:t>
      </w:r>
      <w:r w:rsidRPr="00662E40">
        <w:rPr>
          <w:rFonts w:ascii="Times New Roman" w:hAnsi="Times New Roman"/>
          <w:i/>
          <w:iCs/>
          <w:szCs w:val="24"/>
        </w:rPr>
        <w:t>ACSM’S Health &amp; Fitness Journal</w:t>
      </w:r>
      <w:r w:rsidRPr="00662E40">
        <w:rPr>
          <w:rFonts w:ascii="Times New Roman" w:hAnsi="Times New Roman"/>
          <w:szCs w:val="24"/>
        </w:rPr>
        <w:t xml:space="preserve">, </w:t>
      </w:r>
      <w:r w:rsidRPr="00662E40">
        <w:rPr>
          <w:rFonts w:ascii="Times New Roman" w:hAnsi="Times New Roman"/>
          <w:i/>
          <w:iCs/>
          <w:szCs w:val="24"/>
        </w:rPr>
        <w:t>24</w:t>
      </w:r>
      <w:r w:rsidRPr="00662E40">
        <w:rPr>
          <w:rFonts w:ascii="Times New Roman" w:hAnsi="Times New Roman"/>
          <w:szCs w:val="24"/>
        </w:rPr>
        <w:t>(1), 5–10. https://doi.org/10.1249/FIT.0000000000000533</w:t>
      </w:r>
    </w:p>
    <w:p w14:paraId="56FC375D"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Caplan, Z. (2023). U.S. Older Population Grew From 2010 to 2020 at Fastest Rate Since 1880 to 1890. </w:t>
      </w:r>
      <w:r w:rsidRPr="00662E40">
        <w:rPr>
          <w:rFonts w:ascii="Times New Roman" w:hAnsi="Times New Roman"/>
          <w:i/>
          <w:iCs/>
          <w:szCs w:val="24"/>
        </w:rPr>
        <w:t>United States Census Bureau</w:t>
      </w:r>
      <w:r w:rsidRPr="00662E40">
        <w:rPr>
          <w:rFonts w:ascii="Times New Roman" w:hAnsi="Times New Roman"/>
          <w:szCs w:val="24"/>
        </w:rPr>
        <w:t>. https://www.census.gov/library/stories/2023/05/2020-census-united-states-older-population-grew.html</w:t>
      </w:r>
    </w:p>
    <w:p w14:paraId="24E4CE97"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Cerin, E., Leslie, E., &amp; Owen, N. (2009). Explaining socio-economic status differences in walking for transport: An ecological analysis of individual, social and environmental factors. </w:t>
      </w:r>
      <w:r w:rsidRPr="00662E40">
        <w:rPr>
          <w:rFonts w:ascii="Times New Roman" w:hAnsi="Times New Roman"/>
          <w:i/>
          <w:iCs/>
          <w:szCs w:val="24"/>
        </w:rPr>
        <w:t>Social Science &amp; Medicine</w:t>
      </w:r>
      <w:r w:rsidRPr="00662E40">
        <w:rPr>
          <w:rFonts w:ascii="Times New Roman" w:hAnsi="Times New Roman"/>
          <w:szCs w:val="24"/>
        </w:rPr>
        <w:t xml:space="preserve">, </w:t>
      </w:r>
      <w:r w:rsidRPr="00662E40">
        <w:rPr>
          <w:rFonts w:ascii="Times New Roman" w:hAnsi="Times New Roman"/>
          <w:i/>
          <w:iCs/>
          <w:szCs w:val="24"/>
        </w:rPr>
        <w:t>68</w:t>
      </w:r>
      <w:r w:rsidRPr="00662E40">
        <w:rPr>
          <w:rFonts w:ascii="Times New Roman" w:hAnsi="Times New Roman"/>
          <w:szCs w:val="24"/>
        </w:rPr>
        <w:t>(6), Article 6. https://doi.org/10.1016/j.socscimed.2009.01.008</w:t>
      </w:r>
    </w:p>
    <w:p w14:paraId="78D64E98"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Cerin, E., Sit, C. H. P., Barnett, A., Cheung, M., &amp; Chan, W. (2013). Walking for Recreation and Perceptions of the Neighborhood Environment in Older Chinese Urban Dwellers. </w:t>
      </w:r>
      <w:r w:rsidRPr="00662E40">
        <w:rPr>
          <w:rFonts w:ascii="Times New Roman" w:hAnsi="Times New Roman"/>
          <w:i/>
          <w:iCs/>
          <w:szCs w:val="24"/>
        </w:rPr>
        <w:t>Journal of Urban Health</w:t>
      </w:r>
      <w:r w:rsidRPr="00662E40">
        <w:rPr>
          <w:rFonts w:ascii="Times New Roman" w:hAnsi="Times New Roman"/>
          <w:szCs w:val="24"/>
        </w:rPr>
        <w:t xml:space="preserve">, </w:t>
      </w:r>
      <w:r w:rsidRPr="00662E40">
        <w:rPr>
          <w:rFonts w:ascii="Times New Roman" w:hAnsi="Times New Roman"/>
          <w:i/>
          <w:iCs/>
          <w:szCs w:val="24"/>
        </w:rPr>
        <w:t>90</w:t>
      </w:r>
      <w:r w:rsidRPr="00662E40">
        <w:rPr>
          <w:rFonts w:ascii="Times New Roman" w:hAnsi="Times New Roman"/>
          <w:szCs w:val="24"/>
        </w:rPr>
        <w:t>(1), 56–66. https://doi.org/10.1007/s11524-012-9704-8</w:t>
      </w:r>
    </w:p>
    <w:p w14:paraId="509211F5"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Chen, S.-T., Stevinson, C., Yang, C.-H., Sun, W.-J., Chen, L.-J., &amp; Ku, P.-W. (2021). Cross-sectional and longitudinal associations of outdoor walking with overall mental health in later life. </w:t>
      </w:r>
      <w:r w:rsidRPr="00662E40">
        <w:rPr>
          <w:rFonts w:ascii="Times New Roman" w:hAnsi="Times New Roman"/>
          <w:i/>
          <w:iCs/>
          <w:szCs w:val="24"/>
        </w:rPr>
        <w:t>Experimental Gerontology</w:t>
      </w:r>
      <w:r w:rsidRPr="00662E40">
        <w:rPr>
          <w:rFonts w:ascii="Times New Roman" w:hAnsi="Times New Roman"/>
          <w:szCs w:val="24"/>
        </w:rPr>
        <w:t xml:space="preserve">, </w:t>
      </w:r>
      <w:r w:rsidRPr="00662E40">
        <w:rPr>
          <w:rFonts w:ascii="Times New Roman" w:hAnsi="Times New Roman"/>
          <w:i/>
          <w:iCs/>
          <w:szCs w:val="24"/>
        </w:rPr>
        <w:t>151</w:t>
      </w:r>
      <w:r w:rsidRPr="00662E40">
        <w:rPr>
          <w:rFonts w:ascii="Times New Roman" w:hAnsi="Times New Roman"/>
          <w:szCs w:val="24"/>
        </w:rPr>
        <w:t>, 111428. https://doi.org/10.1016/j.exger.2021.111428</w:t>
      </w:r>
    </w:p>
    <w:p w14:paraId="0EC7BDD9"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Chin, E. C., Yu, A. P., Leung, C. K., Bernal, J. D., Au, W. W., Fong, D. Y., Cheng, C. P., &amp; Siu, P. M. (2022). Effects of Exercise Frequency and Intensity on Reducing Depressive Symptoms in Older Adults With Insomnia: A Pilot Randomized Controlled Trial. </w:t>
      </w:r>
      <w:r w:rsidRPr="00662E40">
        <w:rPr>
          <w:rFonts w:ascii="Times New Roman" w:hAnsi="Times New Roman"/>
          <w:i/>
          <w:iCs/>
          <w:szCs w:val="24"/>
        </w:rPr>
        <w:t>Frontiers in Physiology</w:t>
      </w:r>
      <w:r w:rsidRPr="00662E40">
        <w:rPr>
          <w:rFonts w:ascii="Times New Roman" w:hAnsi="Times New Roman"/>
          <w:szCs w:val="24"/>
        </w:rPr>
        <w:t xml:space="preserve">, </w:t>
      </w:r>
      <w:r w:rsidRPr="00662E40">
        <w:rPr>
          <w:rFonts w:ascii="Times New Roman" w:hAnsi="Times New Roman"/>
          <w:i/>
          <w:iCs/>
          <w:szCs w:val="24"/>
        </w:rPr>
        <w:t>13</w:t>
      </w:r>
      <w:r w:rsidRPr="00662E40">
        <w:rPr>
          <w:rFonts w:ascii="Times New Roman" w:hAnsi="Times New Roman"/>
          <w:szCs w:val="24"/>
        </w:rPr>
        <w:t>, 863457. https://doi.org/10.3389/fphys.2022.863457</w:t>
      </w:r>
    </w:p>
    <w:p w14:paraId="1FCAD925"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Clark, A., &amp; Scott, D. (2016). Barriers to Walking: An Investigation of Adults in Hamilton (Ontario, Canada). </w:t>
      </w:r>
      <w:r w:rsidRPr="00662E40">
        <w:rPr>
          <w:rFonts w:ascii="Times New Roman" w:hAnsi="Times New Roman"/>
          <w:i/>
          <w:iCs/>
          <w:szCs w:val="24"/>
        </w:rPr>
        <w:t>International Journal of Environmental Research and Public Health</w:t>
      </w:r>
      <w:r w:rsidRPr="00662E40">
        <w:rPr>
          <w:rFonts w:ascii="Times New Roman" w:hAnsi="Times New Roman"/>
          <w:szCs w:val="24"/>
        </w:rPr>
        <w:t xml:space="preserve">, </w:t>
      </w:r>
      <w:r w:rsidRPr="00662E40">
        <w:rPr>
          <w:rFonts w:ascii="Times New Roman" w:hAnsi="Times New Roman"/>
          <w:i/>
          <w:iCs/>
          <w:szCs w:val="24"/>
        </w:rPr>
        <w:t>13</w:t>
      </w:r>
      <w:r w:rsidRPr="00662E40">
        <w:rPr>
          <w:rFonts w:ascii="Times New Roman" w:hAnsi="Times New Roman"/>
          <w:szCs w:val="24"/>
        </w:rPr>
        <w:t>(2), 179. https://doi.org/10.3390/ijerph13020179</w:t>
      </w:r>
    </w:p>
    <w:p w14:paraId="43F91378"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Cloutier, M.-S., Beaulieu, E., Fridman, L., Macpherson, A. K., Hagel, B. E., Howard, A. W., Churchill, T., Fuselli, P., Macarthur, C., &amp; Rothman, L. (2021). State-of-the-art review: Preventing child and youth pedestrian motor vehicle collisions: critical issues and future directions. </w:t>
      </w:r>
      <w:r w:rsidRPr="00662E40">
        <w:rPr>
          <w:rFonts w:ascii="Times New Roman" w:hAnsi="Times New Roman"/>
          <w:i/>
          <w:iCs/>
          <w:szCs w:val="24"/>
        </w:rPr>
        <w:t>Injury Prevention</w:t>
      </w:r>
      <w:r w:rsidRPr="00662E40">
        <w:rPr>
          <w:rFonts w:ascii="Times New Roman" w:hAnsi="Times New Roman"/>
          <w:szCs w:val="24"/>
        </w:rPr>
        <w:t xml:space="preserve">, </w:t>
      </w:r>
      <w:r w:rsidRPr="00662E40">
        <w:rPr>
          <w:rFonts w:ascii="Times New Roman" w:hAnsi="Times New Roman"/>
          <w:i/>
          <w:iCs/>
          <w:szCs w:val="24"/>
        </w:rPr>
        <w:t>27</w:t>
      </w:r>
      <w:r w:rsidRPr="00662E40">
        <w:rPr>
          <w:rFonts w:ascii="Times New Roman" w:hAnsi="Times New Roman"/>
          <w:szCs w:val="24"/>
        </w:rPr>
        <w:t>(1), 77–84. https://doi.org/10.1136/injuryprev-2020-043829</w:t>
      </w:r>
    </w:p>
    <w:p w14:paraId="456CB0D2"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Colley, K., Currie, M. J. B., &amp; Irvine, K. N. (2019). Then and Now: Examining Older People’s Engagement in Outdoor Recreation Across the Life Course. </w:t>
      </w:r>
      <w:r w:rsidRPr="00662E40">
        <w:rPr>
          <w:rFonts w:ascii="Times New Roman" w:hAnsi="Times New Roman"/>
          <w:i/>
          <w:iCs/>
          <w:szCs w:val="24"/>
        </w:rPr>
        <w:t>Leisure Sciences</w:t>
      </w:r>
      <w:r w:rsidRPr="00662E40">
        <w:rPr>
          <w:rFonts w:ascii="Times New Roman" w:hAnsi="Times New Roman"/>
          <w:szCs w:val="24"/>
        </w:rPr>
        <w:t xml:space="preserve">, </w:t>
      </w:r>
      <w:r w:rsidRPr="00662E40">
        <w:rPr>
          <w:rFonts w:ascii="Times New Roman" w:hAnsi="Times New Roman"/>
          <w:i/>
          <w:iCs/>
          <w:szCs w:val="24"/>
        </w:rPr>
        <w:t>41</w:t>
      </w:r>
      <w:r w:rsidRPr="00662E40">
        <w:rPr>
          <w:rFonts w:ascii="Times New Roman" w:hAnsi="Times New Roman"/>
          <w:szCs w:val="24"/>
        </w:rPr>
        <w:t>(3), 186–202. https://doi.org/10.1080/01490400.2017.1349696</w:t>
      </w:r>
    </w:p>
    <w:p w14:paraId="75C8340A"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Duncan, L. R., Hall, C. R., Wilson, P. M., &amp; O, J. (2010). Exercise motivation: A cross-sectional analysis examining its relationships with frequency, intensity, and duration of exercise. </w:t>
      </w:r>
      <w:r w:rsidRPr="00662E40">
        <w:rPr>
          <w:rFonts w:ascii="Times New Roman" w:hAnsi="Times New Roman"/>
          <w:i/>
          <w:iCs/>
          <w:szCs w:val="24"/>
        </w:rPr>
        <w:t>International Journal of Behavioral Nutrition and Physical Activity</w:t>
      </w:r>
      <w:r w:rsidRPr="00662E40">
        <w:rPr>
          <w:rFonts w:ascii="Times New Roman" w:hAnsi="Times New Roman"/>
          <w:szCs w:val="24"/>
        </w:rPr>
        <w:t xml:space="preserve">, </w:t>
      </w:r>
      <w:r w:rsidRPr="00662E40">
        <w:rPr>
          <w:rFonts w:ascii="Times New Roman" w:hAnsi="Times New Roman"/>
          <w:i/>
          <w:iCs/>
          <w:szCs w:val="24"/>
        </w:rPr>
        <w:t>7</w:t>
      </w:r>
      <w:r w:rsidRPr="00662E40">
        <w:rPr>
          <w:rFonts w:ascii="Times New Roman" w:hAnsi="Times New Roman"/>
          <w:szCs w:val="24"/>
        </w:rPr>
        <w:t>(1), 7. https://doi.org/10.1186/1479-5868-7-7</w:t>
      </w:r>
    </w:p>
    <w:p w14:paraId="1C8155FA"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Evangelist, M. (2022). Narrowing Racial Differences in Trust: How Discrimination Shapes Trust in a Racialized Society. </w:t>
      </w:r>
      <w:r w:rsidRPr="00662E40">
        <w:rPr>
          <w:rFonts w:ascii="Times New Roman" w:hAnsi="Times New Roman"/>
          <w:i/>
          <w:iCs/>
          <w:szCs w:val="24"/>
        </w:rPr>
        <w:t>Social Problems</w:t>
      </w:r>
      <w:r w:rsidRPr="00662E40">
        <w:rPr>
          <w:rFonts w:ascii="Times New Roman" w:hAnsi="Times New Roman"/>
          <w:szCs w:val="24"/>
        </w:rPr>
        <w:t xml:space="preserve">, </w:t>
      </w:r>
      <w:r w:rsidRPr="00662E40">
        <w:rPr>
          <w:rFonts w:ascii="Times New Roman" w:hAnsi="Times New Roman"/>
          <w:i/>
          <w:iCs/>
          <w:szCs w:val="24"/>
        </w:rPr>
        <w:t>69</w:t>
      </w:r>
      <w:r w:rsidRPr="00662E40">
        <w:rPr>
          <w:rFonts w:ascii="Times New Roman" w:hAnsi="Times New Roman"/>
          <w:szCs w:val="24"/>
        </w:rPr>
        <w:t>(4), 1109–1136. https://doi.org/10.1093/socpro/spab011</w:t>
      </w:r>
    </w:p>
    <w:p w14:paraId="28CC127E" w14:textId="77777777" w:rsidR="00A9351C" w:rsidRPr="00662E40" w:rsidRDefault="00A9351C" w:rsidP="003964C4">
      <w:pPr>
        <w:pStyle w:val="Bibliography"/>
        <w:keepLines/>
        <w:spacing w:line="240" w:lineRule="auto"/>
        <w:ind w:left="540" w:hanging="540"/>
        <w:rPr>
          <w:rFonts w:ascii="Times New Roman" w:hAnsi="Times New Roman"/>
          <w:szCs w:val="24"/>
        </w:rPr>
      </w:pPr>
      <w:r w:rsidRPr="00662E40">
        <w:rPr>
          <w:rFonts w:ascii="Times New Roman" w:hAnsi="Times New Roman"/>
          <w:szCs w:val="24"/>
        </w:rPr>
        <w:lastRenderedPageBreak/>
        <w:t xml:space="preserve">Felipe, S. G. B., Parreira Batista, P., Da Silva, C. C. R., De Melo, R. C., De Assumpção, D., &amp; Perracini, M. R. (2023). Impact of COVID‐19 pandemic on mobility of older adults: A scoping review. </w:t>
      </w:r>
      <w:r w:rsidRPr="00662E40">
        <w:rPr>
          <w:rFonts w:ascii="Times New Roman" w:hAnsi="Times New Roman"/>
          <w:i/>
          <w:iCs/>
          <w:szCs w:val="24"/>
        </w:rPr>
        <w:t>International Journal of Older People Nursing</w:t>
      </w:r>
      <w:r w:rsidRPr="00662E40">
        <w:rPr>
          <w:rFonts w:ascii="Times New Roman" w:hAnsi="Times New Roman"/>
          <w:szCs w:val="24"/>
        </w:rPr>
        <w:t xml:space="preserve">, </w:t>
      </w:r>
      <w:r w:rsidRPr="00662E40">
        <w:rPr>
          <w:rFonts w:ascii="Times New Roman" w:hAnsi="Times New Roman"/>
          <w:i/>
          <w:iCs/>
          <w:szCs w:val="24"/>
        </w:rPr>
        <w:t>18</w:t>
      </w:r>
      <w:r w:rsidRPr="00662E40">
        <w:rPr>
          <w:rFonts w:ascii="Times New Roman" w:hAnsi="Times New Roman"/>
          <w:szCs w:val="24"/>
        </w:rPr>
        <w:t>(1), e12496. https://doi.org/10.1111/opn.12496</w:t>
      </w:r>
    </w:p>
    <w:p w14:paraId="37EE27DE"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Foster, D., Linehan, C., Kirman, B., Lawson, S., &amp; James, G. (2010). Motivating physical activity at work: Using persuasive social media for competitive step counting. </w:t>
      </w:r>
      <w:r w:rsidRPr="00662E40">
        <w:rPr>
          <w:rFonts w:ascii="Times New Roman" w:hAnsi="Times New Roman"/>
          <w:i/>
          <w:iCs/>
          <w:szCs w:val="24"/>
        </w:rPr>
        <w:t>Proceedings of the 14th International Academic MindTrek Conference: Envisioning Future Media Environments</w:t>
      </w:r>
      <w:r w:rsidRPr="00662E40">
        <w:rPr>
          <w:rFonts w:ascii="Times New Roman" w:hAnsi="Times New Roman"/>
          <w:szCs w:val="24"/>
        </w:rPr>
        <w:t>, 111–116. https://doi.org/10.1145/1930488.1930510</w:t>
      </w:r>
    </w:p>
    <w:p w14:paraId="467C3D0D"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Franke, T., Sims-Gould, J., Nettlefold, L., Ottoni, C., &amp; McKay, H. A. (2021). “It makes me feel not so alone”: Features of the Choose to Move physical activity intervention that reduce loneliness in older adults. </w:t>
      </w:r>
      <w:r w:rsidRPr="00662E40">
        <w:rPr>
          <w:rFonts w:ascii="Times New Roman" w:hAnsi="Times New Roman"/>
          <w:i/>
          <w:iCs/>
          <w:szCs w:val="24"/>
        </w:rPr>
        <w:t>BMC Public Health</w:t>
      </w:r>
      <w:r w:rsidRPr="00662E40">
        <w:rPr>
          <w:rFonts w:ascii="Times New Roman" w:hAnsi="Times New Roman"/>
          <w:szCs w:val="24"/>
        </w:rPr>
        <w:t xml:space="preserve">, </w:t>
      </w:r>
      <w:r w:rsidRPr="00662E40">
        <w:rPr>
          <w:rFonts w:ascii="Times New Roman" w:hAnsi="Times New Roman"/>
          <w:i/>
          <w:iCs/>
          <w:szCs w:val="24"/>
        </w:rPr>
        <w:t>21</w:t>
      </w:r>
      <w:r w:rsidRPr="00662E40">
        <w:rPr>
          <w:rFonts w:ascii="Times New Roman" w:hAnsi="Times New Roman"/>
          <w:szCs w:val="24"/>
        </w:rPr>
        <w:t>(1), 312. https://doi.org/10.1186/s12889-021-10363-1</w:t>
      </w:r>
    </w:p>
    <w:p w14:paraId="273EE78D"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Freiberger, E., Sieber, C. C., &amp; Kob, R. (2020). Mobility in Older Community-Dwelling Persons: A Narrative Review. </w:t>
      </w:r>
      <w:r w:rsidRPr="00662E40">
        <w:rPr>
          <w:rFonts w:ascii="Times New Roman" w:hAnsi="Times New Roman"/>
          <w:i/>
          <w:iCs/>
          <w:szCs w:val="24"/>
        </w:rPr>
        <w:t>Frontiers in Physiology</w:t>
      </w:r>
      <w:r w:rsidRPr="00662E40">
        <w:rPr>
          <w:rFonts w:ascii="Times New Roman" w:hAnsi="Times New Roman"/>
          <w:szCs w:val="24"/>
        </w:rPr>
        <w:t xml:space="preserve">, </w:t>
      </w:r>
      <w:r w:rsidRPr="00662E40">
        <w:rPr>
          <w:rFonts w:ascii="Times New Roman" w:hAnsi="Times New Roman"/>
          <w:i/>
          <w:iCs/>
          <w:szCs w:val="24"/>
        </w:rPr>
        <w:t>11</w:t>
      </w:r>
      <w:r w:rsidRPr="00662E40">
        <w:rPr>
          <w:rFonts w:ascii="Times New Roman" w:hAnsi="Times New Roman"/>
          <w:szCs w:val="24"/>
        </w:rPr>
        <w:t>, 881. https://doi.org/10.3389/fphys.2020.00881</w:t>
      </w:r>
    </w:p>
    <w:p w14:paraId="3345DF2B"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Giehl, M. W. C., Hallal, P. C., Corseuil, C. W., Schneider, I. J. C., &amp; d’Orsi, E. (2016). Built Environment and Walking Behavior Among Brazilian Older Adults: A Population-Based Study. </w:t>
      </w:r>
      <w:r w:rsidRPr="00662E40">
        <w:rPr>
          <w:rFonts w:ascii="Times New Roman" w:hAnsi="Times New Roman"/>
          <w:i/>
          <w:iCs/>
          <w:szCs w:val="24"/>
        </w:rPr>
        <w:t>Journal of Physical Activity and Health</w:t>
      </w:r>
      <w:r w:rsidRPr="00662E40">
        <w:rPr>
          <w:rFonts w:ascii="Times New Roman" w:hAnsi="Times New Roman"/>
          <w:szCs w:val="24"/>
        </w:rPr>
        <w:t xml:space="preserve">, </w:t>
      </w:r>
      <w:r w:rsidRPr="00662E40">
        <w:rPr>
          <w:rFonts w:ascii="Times New Roman" w:hAnsi="Times New Roman"/>
          <w:i/>
          <w:iCs/>
          <w:szCs w:val="24"/>
        </w:rPr>
        <w:t>13</w:t>
      </w:r>
      <w:r w:rsidRPr="00662E40">
        <w:rPr>
          <w:rFonts w:ascii="Times New Roman" w:hAnsi="Times New Roman"/>
          <w:szCs w:val="24"/>
        </w:rPr>
        <w:t>(6), 617–624. https://doi.org/10.1123/jpah.2015-0355</w:t>
      </w:r>
    </w:p>
    <w:p w14:paraId="1A8F5163"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Guan, X., Wang, D., &amp; Jason Cao, X. (2020). The role of residential self-selection in land use-travel research: A review of recent findings. </w:t>
      </w:r>
      <w:r w:rsidRPr="00662E40">
        <w:rPr>
          <w:rFonts w:ascii="Times New Roman" w:hAnsi="Times New Roman"/>
          <w:i/>
          <w:iCs/>
          <w:szCs w:val="24"/>
        </w:rPr>
        <w:t>Transport Reviews</w:t>
      </w:r>
      <w:r w:rsidRPr="00662E40">
        <w:rPr>
          <w:rFonts w:ascii="Times New Roman" w:hAnsi="Times New Roman"/>
          <w:szCs w:val="24"/>
        </w:rPr>
        <w:t xml:space="preserve">, </w:t>
      </w:r>
      <w:r w:rsidRPr="00662E40">
        <w:rPr>
          <w:rFonts w:ascii="Times New Roman" w:hAnsi="Times New Roman"/>
          <w:i/>
          <w:iCs/>
          <w:szCs w:val="24"/>
        </w:rPr>
        <w:t>40</w:t>
      </w:r>
      <w:r w:rsidRPr="00662E40">
        <w:rPr>
          <w:rFonts w:ascii="Times New Roman" w:hAnsi="Times New Roman"/>
          <w:szCs w:val="24"/>
        </w:rPr>
        <w:t>(3), 267–287. https://doi.org/10.1080/01441647.2019.1692965</w:t>
      </w:r>
    </w:p>
    <w:p w14:paraId="0731F180"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Gümüş Şekerci, Y., &amp; Kır Biçer, E. (2019). </w:t>
      </w:r>
      <w:r w:rsidRPr="00662E40">
        <w:rPr>
          <w:rFonts w:ascii="Times New Roman" w:hAnsi="Times New Roman"/>
          <w:i/>
          <w:iCs/>
          <w:szCs w:val="24"/>
        </w:rPr>
        <w:t>The effect of walking exercise on quality of life and sleep in elderly individuals: Randomized controlled study</w:t>
      </w:r>
      <w:r w:rsidRPr="00662E40">
        <w:rPr>
          <w:rFonts w:ascii="Times New Roman" w:hAnsi="Times New Roman"/>
          <w:szCs w:val="24"/>
        </w:rPr>
        <w:t>.</w:t>
      </w:r>
    </w:p>
    <w:p w14:paraId="220A6743"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Haddad, A. J., Mondal, A., Bhat, C. R., Zhang, A., Liao, M. C., Macias, L. J., Lee, M. K., &amp; Watkins, S. C. (2023). Pedestrian crash frequency: Unpacking the effects of contributing factors and racial disparities. </w:t>
      </w:r>
      <w:r w:rsidRPr="00662E40">
        <w:rPr>
          <w:rFonts w:ascii="Times New Roman" w:hAnsi="Times New Roman"/>
          <w:i/>
          <w:iCs/>
          <w:szCs w:val="24"/>
        </w:rPr>
        <w:t>Accident Analysis &amp; Prevention</w:t>
      </w:r>
      <w:r w:rsidRPr="00662E40">
        <w:rPr>
          <w:rFonts w:ascii="Times New Roman" w:hAnsi="Times New Roman"/>
          <w:szCs w:val="24"/>
        </w:rPr>
        <w:t xml:space="preserve">, </w:t>
      </w:r>
      <w:r w:rsidRPr="00662E40">
        <w:rPr>
          <w:rFonts w:ascii="Times New Roman" w:hAnsi="Times New Roman"/>
          <w:i/>
          <w:iCs/>
          <w:szCs w:val="24"/>
        </w:rPr>
        <w:t>182</w:t>
      </w:r>
      <w:r w:rsidRPr="00662E40">
        <w:rPr>
          <w:rFonts w:ascii="Times New Roman" w:hAnsi="Times New Roman"/>
          <w:szCs w:val="24"/>
        </w:rPr>
        <w:t>, 106954. https://doi.org/10.1016/j.aap.2023.106954</w:t>
      </w:r>
    </w:p>
    <w:p w14:paraId="04282BD1"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Hanson, S., &amp; Jones, A. (2015). A spatial equity analysis of a public health intervention: A case study of an outdoor walking group provider within local authorities in England. </w:t>
      </w:r>
      <w:r w:rsidRPr="00662E40">
        <w:rPr>
          <w:rFonts w:ascii="Times New Roman" w:hAnsi="Times New Roman"/>
          <w:i/>
          <w:iCs/>
          <w:szCs w:val="24"/>
        </w:rPr>
        <w:t>International Journal for Equity in Health</w:t>
      </w:r>
      <w:r w:rsidRPr="00662E40">
        <w:rPr>
          <w:rFonts w:ascii="Times New Roman" w:hAnsi="Times New Roman"/>
          <w:szCs w:val="24"/>
        </w:rPr>
        <w:t xml:space="preserve">, </w:t>
      </w:r>
      <w:r w:rsidRPr="00662E40">
        <w:rPr>
          <w:rFonts w:ascii="Times New Roman" w:hAnsi="Times New Roman"/>
          <w:i/>
          <w:iCs/>
          <w:szCs w:val="24"/>
        </w:rPr>
        <w:t>14</w:t>
      </w:r>
      <w:r w:rsidRPr="00662E40">
        <w:rPr>
          <w:rFonts w:ascii="Times New Roman" w:hAnsi="Times New Roman"/>
          <w:szCs w:val="24"/>
        </w:rPr>
        <w:t>(1), 106. https://doi.org/10.1186/s12939-015-0256-x</w:t>
      </w:r>
    </w:p>
    <w:p w14:paraId="1425A66D"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Heidel, A., &amp; Hagist, C. (2020). Potential Benefits and Risks Resulting From the Introduction of Health Apps and Wearables Into the German Statutory Health Care System: Scoping Review. </w:t>
      </w:r>
      <w:r w:rsidRPr="00662E40">
        <w:rPr>
          <w:rFonts w:ascii="Times New Roman" w:hAnsi="Times New Roman"/>
          <w:i/>
          <w:iCs/>
          <w:szCs w:val="24"/>
        </w:rPr>
        <w:t>JMIR mHealth and uHealth</w:t>
      </w:r>
      <w:r w:rsidRPr="00662E40">
        <w:rPr>
          <w:rFonts w:ascii="Times New Roman" w:hAnsi="Times New Roman"/>
          <w:szCs w:val="24"/>
        </w:rPr>
        <w:t xml:space="preserve">, </w:t>
      </w:r>
      <w:r w:rsidRPr="00662E40">
        <w:rPr>
          <w:rFonts w:ascii="Times New Roman" w:hAnsi="Times New Roman"/>
          <w:i/>
          <w:iCs/>
          <w:szCs w:val="24"/>
        </w:rPr>
        <w:t>8</w:t>
      </w:r>
      <w:r w:rsidRPr="00662E40">
        <w:rPr>
          <w:rFonts w:ascii="Times New Roman" w:hAnsi="Times New Roman"/>
          <w:szCs w:val="24"/>
        </w:rPr>
        <w:t>(9), e16444. https://doi.org/10.2196/16444</w:t>
      </w:r>
    </w:p>
    <w:p w14:paraId="036E719A"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Hwang, H., Haddad, A., Batur, I., Saxena, S., Pendyala, R. M., &amp; Bhat, C. R. (2023). An analysis of walking frequency before and after the pandemic. </w:t>
      </w:r>
      <w:r w:rsidRPr="00662E40">
        <w:rPr>
          <w:rFonts w:ascii="Times New Roman" w:hAnsi="Times New Roman"/>
          <w:i/>
          <w:iCs/>
          <w:szCs w:val="24"/>
        </w:rPr>
        <w:t>Technical Paper, Department of Civil, Architectural and Environmental Engineering, The University of Texas at Austin</w:t>
      </w:r>
      <w:r w:rsidRPr="00662E40">
        <w:rPr>
          <w:rFonts w:ascii="Times New Roman" w:hAnsi="Times New Roman"/>
          <w:szCs w:val="24"/>
        </w:rPr>
        <w:t>.</w:t>
      </w:r>
    </w:p>
    <w:p w14:paraId="3F08D7CB"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Ihara, S., Ide, K., Kanamori, S., Tsuji, T., Kondo, K., &amp; Iizuka, G. (2022). Social participation and change in walking time among older adults: A 3-year longitudinal study from the JAGES. </w:t>
      </w:r>
      <w:r w:rsidRPr="00662E40">
        <w:rPr>
          <w:rFonts w:ascii="Times New Roman" w:hAnsi="Times New Roman"/>
          <w:i/>
          <w:iCs/>
          <w:szCs w:val="24"/>
        </w:rPr>
        <w:t>BMC Geriatrics</w:t>
      </w:r>
      <w:r w:rsidRPr="00662E40">
        <w:rPr>
          <w:rFonts w:ascii="Times New Roman" w:hAnsi="Times New Roman"/>
          <w:szCs w:val="24"/>
        </w:rPr>
        <w:t xml:space="preserve">, </w:t>
      </w:r>
      <w:r w:rsidRPr="00662E40">
        <w:rPr>
          <w:rFonts w:ascii="Times New Roman" w:hAnsi="Times New Roman"/>
          <w:i/>
          <w:iCs/>
          <w:szCs w:val="24"/>
        </w:rPr>
        <w:t>22</w:t>
      </w:r>
      <w:r w:rsidRPr="00662E40">
        <w:rPr>
          <w:rFonts w:ascii="Times New Roman" w:hAnsi="Times New Roman"/>
          <w:szCs w:val="24"/>
        </w:rPr>
        <w:t>(1), 238. https://doi.org/10.1186/s12877-022-02874-2</w:t>
      </w:r>
    </w:p>
    <w:p w14:paraId="514B5F16"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Irvine, K. N., Fisher, D., Marselle, M. R., Currie, M., Colley, K., &amp; Warber, S. L. (2022). Social Isolation in Older Adults: A Qualitative Study on the Social Dimensions of Group Outdoor Health Walks. </w:t>
      </w:r>
      <w:r w:rsidRPr="00662E40">
        <w:rPr>
          <w:rFonts w:ascii="Times New Roman" w:hAnsi="Times New Roman"/>
          <w:i/>
          <w:iCs/>
          <w:szCs w:val="24"/>
        </w:rPr>
        <w:t>International Journal of Environmental Research and Public Health</w:t>
      </w:r>
      <w:r w:rsidRPr="00662E40">
        <w:rPr>
          <w:rFonts w:ascii="Times New Roman" w:hAnsi="Times New Roman"/>
          <w:szCs w:val="24"/>
        </w:rPr>
        <w:t xml:space="preserve">, </w:t>
      </w:r>
      <w:r w:rsidRPr="00662E40">
        <w:rPr>
          <w:rFonts w:ascii="Times New Roman" w:hAnsi="Times New Roman"/>
          <w:i/>
          <w:iCs/>
          <w:szCs w:val="24"/>
        </w:rPr>
        <w:t>19</w:t>
      </w:r>
      <w:r w:rsidRPr="00662E40">
        <w:rPr>
          <w:rFonts w:ascii="Times New Roman" w:hAnsi="Times New Roman"/>
          <w:szCs w:val="24"/>
        </w:rPr>
        <w:t>(9), 5353. https://doi.org/10.3390/ijerph19095353</w:t>
      </w:r>
    </w:p>
    <w:p w14:paraId="538BAEC0"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lastRenderedPageBreak/>
        <w:t xml:space="preserve">Julien, D., Gauvin, L., Richard, L., Kestens, Y., &amp; Payette, H. (2013). Longitudinal Associations Between Walking Frequency and Depressive Symptoms in Older Adults: Results from the VoisiNuAge Study. </w:t>
      </w:r>
      <w:r w:rsidRPr="00662E40">
        <w:rPr>
          <w:rFonts w:ascii="Times New Roman" w:hAnsi="Times New Roman"/>
          <w:i/>
          <w:iCs/>
          <w:szCs w:val="24"/>
        </w:rPr>
        <w:t>Journal of the American Geriatrics Society</w:t>
      </w:r>
      <w:r w:rsidRPr="00662E40">
        <w:rPr>
          <w:rFonts w:ascii="Times New Roman" w:hAnsi="Times New Roman"/>
          <w:szCs w:val="24"/>
        </w:rPr>
        <w:t xml:space="preserve">, </w:t>
      </w:r>
      <w:r w:rsidRPr="00662E40">
        <w:rPr>
          <w:rFonts w:ascii="Times New Roman" w:hAnsi="Times New Roman"/>
          <w:i/>
          <w:iCs/>
          <w:szCs w:val="24"/>
        </w:rPr>
        <w:t>61</w:t>
      </w:r>
      <w:r w:rsidRPr="00662E40">
        <w:rPr>
          <w:rFonts w:ascii="Times New Roman" w:hAnsi="Times New Roman"/>
          <w:szCs w:val="24"/>
        </w:rPr>
        <w:t>(12), 2072–2078. https://doi.org/10.1111/jgs.12546</w:t>
      </w:r>
    </w:p>
    <w:p w14:paraId="30BBDAD6"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Kamphuis, C. B., Van Lenthe, F. J., Giskes, K., Huisman, M., Brug, J., &amp; Mackenbach, J. P. (2009). Socioeconomic differences in lack of recreational walking among older adults: The role of neighbourhood and individual factors. </w:t>
      </w:r>
      <w:r w:rsidRPr="00662E40">
        <w:rPr>
          <w:rFonts w:ascii="Times New Roman" w:hAnsi="Times New Roman"/>
          <w:i/>
          <w:iCs/>
          <w:szCs w:val="24"/>
        </w:rPr>
        <w:t>International Journal of Behavioral Nutrition and Physical Activity</w:t>
      </w:r>
      <w:r w:rsidRPr="00662E40">
        <w:rPr>
          <w:rFonts w:ascii="Times New Roman" w:hAnsi="Times New Roman"/>
          <w:szCs w:val="24"/>
        </w:rPr>
        <w:t xml:space="preserve">, </w:t>
      </w:r>
      <w:r w:rsidRPr="00662E40">
        <w:rPr>
          <w:rFonts w:ascii="Times New Roman" w:hAnsi="Times New Roman"/>
          <w:i/>
          <w:iCs/>
          <w:szCs w:val="24"/>
        </w:rPr>
        <w:t>6</w:t>
      </w:r>
      <w:r w:rsidRPr="00662E40">
        <w:rPr>
          <w:rFonts w:ascii="Times New Roman" w:hAnsi="Times New Roman"/>
          <w:szCs w:val="24"/>
        </w:rPr>
        <w:t>(1), 1. https://doi.org/10.1186/1479-5868-6-1</w:t>
      </w:r>
    </w:p>
    <w:p w14:paraId="31C70A7A"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Kim, D.-J., Lee, Y.-S., Jeon, E.-R., &amp; Kim, K. J. (2024). Present and Future of AI-IoT-Based Healthcare Services for Senior Citizens in Local Communities: A Review of a South Korean Government Digital Healthcare Initiatives. </w:t>
      </w:r>
      <w:r w:rsidRPr="00662E40">
        <w:rPr>
          <w:rFonts w:ascii="Times New Roman" w:hAnsi="Times New Roman"/>
          <w:i/>
          <w:iCs/>
          <w:szCs w:val="24"/>
        </w:rPr>
        <w:t>Healthcare</w:t>
      </w:r>
      <w:r w:rsidRPr="00662E40">
        <w:rPr>
          <w:rFonts w:ascii="Times New Roman" w:hAnsi="Times New Roman"/>
          <w:szCs w:val="24"/>
        </w:rPr>
        <w:t xml:space="preserve">, </w:t>
      </w:r>
      <w:r w:rsidRPr="00662E40">
        <w:rPr>
          <w:rFonts w:ascii="Times New Roman" w:hAnsi="Times New Roman"/>
          <w:i/>
          <w:iCs/>
          <w:szCs w:val="24"/>
        </w:rPr>
        <w:t>12</w:t>
      </w:r>
      <w:r w:rsidRPr="00662E40">
        <w:rPr>
          <w:rFonts w:ascii="Times New Roman" w:hAnsi="Times New Roman"/>
          <w:szCs w:val="24"/>
        </w:rPr>
        <w:t>(2), 281. https://doi.org/10.3390/healthcare12020281</w:t>
      </w:r>
    </w:p>
    <w:p w14:paraId="3BE9AFC8"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Klenk, J., Dallmeier, D., Denkinger, M. D., Rapp, K., Koenig, W., Rothenbacher, D., &amp; ActiFE Study Group. (2016). Objectively Measured Walking Duration and Sedentary Behaviour and Four-Year Mortality in Older People. </w:t>
      </w:r>
      <w:r w:rsidRPr="00662E40">
        <w:rPr>
          <w:rFonts w:ascii="Times New Roman" w:hAnsi="Times New Roman"/>
          <w:i/>
          <w:iCs/>
          <w:szCs w:val="24"/>
        </w:rPr>
        <w:t>PLOS ONE</w:t>
      </w:r>
      <w:r w:rsidRPr="00662E40">
        <w:rPr>
          <w:rFonts w:ascii="Times New Roman" w:hAnsi="Times New Roman"/>
          <w:szCs w:val="24"/>
        </w:rPr>
        <w:t xml:space="preserve">, </w:t>
      </w:r>
      <w:r w:rsidRPr="00662E40">
        <w:rPr>
          <w:rFonts w:ascii="Times New Roman" w:hAnsi="Times New Roman"/>
          <w:i/>
          <w:iCs/>
          <w:szCs w:val="24"/>
        </w:rPr>
        <w:t>11</w:t>
      </w:r>
      <w:r w:rsidRPr="00662E40">
        <w:rPr>
          <w:rFonts w:ascii="Times New Roman" w:hAnsi="Times New Roman"/>
          <w:szCs w:val="24"/>
        </w:rPr>
        <w:t>(4), e0153779. https://doi.org/10.1371/journal.pone.0153779</w:t>
      </w:r>
    </w:p>
    <w:p w14:paraId="0F094DBF"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Kritz, M., Thøgersen-Ntoumani, C., Mullan, B., Stathi, A., &amp; Ntoumanis, N. (2021). “It’s Better Together”: A Nested Longitudinal Study Examining the Benefits of Walking Regularly With Peers Versus Primarily Alone in Older Adults. </w:t>
      </w:r>
      <w:r w:rsidRPr="00662E40">
        <w:rPr>
          <w:rFonts w:ascii="Times New Roman" w:hAnsi="Times New Roman"/>
          <w:i/>
          <w:iCs/>
          <w:szCs w:val="24"/>
        </w:rPr>
        <w:t>Journal of Aging and Physical Activity</w:t>
      </w:r>
      <w:r w:rsidRPr="00662E40">
        <w:rPr>
          <w:rFonts w:ascii="Times New Roman" w:hAnsi="Times New Roman"/>
          <w:szCs w:val="24"/>
        </w:rPr>
        <w:t xml:space="preserve">, </w:t>
      </w:r>
      <w:r w:rsidRPr="00662E40">
        <w:rPr>
          <w:rFonts w:ascii="Times New Roman" w:hAnsi="Times New Roman"/>
          <w:i/>
          <w:iCs/>
          <w:szCs w:val="24"/>
        </w:rPr>
        <w:t>29</w:t>
      </w:r>
      <w:r w:rsidRPr="00662E40">
        <w:rPr>
          <w:rFonts w:ascii="Times New Roman" w:hAnsi="Times New Roman"/>
          <w:szCs w:val="24"/>
        </w:rPr>
        <w:t>(3), 455–465. https://doi.org/10.1123/japa.2020-0091</w:t>
      </w:r>
    </w:p>
    <w:p w14:paraId="72F853CD"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Kroesen, M., &amp; De Vos, J. (2020). Does active travel make people healthier, or are healthy people more inclined to travel actively? </w:t>
      </w:r>
      <w:r w:rsidRPr="00662E40">
        <w:rPr>
          <w:rFonts w:ascii="Times New Roman" w:hAnsi="Times New Roman"/>
          <w:i/>
          <w:iCs/>
          <w:szCs w:val="24"/>
        </w:rPr>
        <w:t>Journal of Transport &amp; Health</w:t>
      </w:r>
      <w:r w:rsidRPr="00662E40">
        <w:rPr>
          <w:rFonts w:ascii="Times New Roman" w:hAnsi="Times New Roman"/>
          <w:szCs w:val="24"/>
        </w:rPr>
        <w:t xml:space="preserve">, </w:t>
      </w:r>
      <w:r w:rsidRPr="00662E40">
        <w:rPr>
          <w:rFonts w:ascii="Times New Roman" w:hAnsi="Times New Roman"/>
          <w:i/>
          <w:iCs/>
          <w:szCs w:val="24"/>
        </w:rPr>
        <w:t>16</w:t>
      </w:r>
      <w:r w:rsidRPr="00662E40">
        <w:rPr>
          <w:rFonts w:ascii="Times New Roman" w:hAnsi="Times New Roman"/>
          <w:szCs w:val="24"/>
        </w:rPr>
        <w:t>, 100844. https://doi.org/10.1016/j.jth.2020.100844</w:t>
      </w:r>
    </w:p>
    <w:p w14:paraId="3BB3E140"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Krogstad, J. R., Hjorthol, R., &amp; Tennøy, A. (2015). Improving walking conditions for older adults. A three-step method investigation. </w:t>
      </w:r>
      <w:r w:rsidRPr="00662E40">
        <w:rPr>
          <w:rFonts w:ascii="Times New Roman" w:hAnsi="Times New Roman"/>
          <w:i/>
          <w:iCs/>
          <w:szCs w:val="24"/>
        </w:rPr>
        <w:t>European Journal of Ageing</w:t>
      </w:r>
      <w:r w:rsidRPr="00662E40">
        <w:rPr>
          <w:rFonts w:ascii="Times New Roman" w:hAnsi="Times New Roman"/>
          <w:szCs w:val="24"/>
        </w:rPr>
        <w:t xml:space="preserve">, </w:t>
      </w:r>
      <w:r w:rsidRPr="00662E40">
        <w:rPr>
          <w:rFonts w:ascii="Times New Roman" w:hAnsi="Times New Roman"/>
          <w:i/>
          <w:iCs/>
          <w:szCs w:val="24"/>
        </w:rPr>
        <w:t>12</w:t>
      </w:r>
      <w:r w:rsidRPr="00662E40">
        <w:rPr>
          <w:rFonts w:ascii="Times New Roman" w:hAnsi="Times New Roman"/>
          <w:szCs w:val="24"/>
        </w:rPr>
        <w:t>(3), 249–260. https://doi.org/10.1007/s10433-015-0340-5</w:t>
      </w:r>
    </w:p>
    <w:p w14:paraId="7ED51ECD"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Kubota, A., Carver, A., &amp; Sugiyama, T. (2020). Associations of Local Social Engagement and Environmental Attributes With Walking and Sitting Among Japanese Older Adults. </w:t>
      </w:r>
      <w:r w:rsidRPr="00662E40">
        <w:rPr>
          <w:rFonts w:ascii="Times New Roman" w:hAnsi="Times New Roman"/>
          <w:i/>
          <w:iCs/>
          <w:szCs w:val="24"/>
        </w:rPr>
        <w:t>Journal of Aging and Physical Activity</w:t>
      </w:r>
      <w:r w:rsidRPr="00662E40">
        <w:rPr>
          <w:rFonts w:ascii="Times New Roman" w:hAnsi="Times New Roman"/>
          <w:szCs w:val="24"/>
        </w:rPr>
        <w:t xml:space="preserve">, </w:t>
      </w:r>
      <w:r w:rsidRPr="00662E40">
        <w:rPr>
          <w:rFonts w:ascii="Times New Roman" w:hAnsi="Times New Roman"/>
          <w:i/>
          <w:iCs/>
          <w:szCs w:val="24"/>
        </w:rPr>
        <w:t>28</w:t>
      </w:r>
      <w:r w:rsidRPr="00662E40">
        <w:rPr>
          <w:rFonts w:ascii="Times New Roman" w:hAnsi="Times New Roman"/>
          <w:szCs w:val="24"/>
        </w:rPr>
        <w:t>(2), 187–193. https://doi.org/10.1123/japa.2018-0321</w:t>
      </w:r>
    </w:p>
    <w:p w14:paraId="510B9469"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LaCroix, A. Z., Leveille, S. G., Hecht, J. A., Grothaus, L. C., &amp; Wagner, E. H. (1996). Does Walking Decrease the Risk of Cardiovascular Disease Hospitalizations and Death in Older Adults? </w:t>
      </w:r>
      <w:r w:rsidRPr="00662E40">
        <w:rPr>
          <w:rFonts w:ascii="Times New Roman" w:hAnsi="Times New Roman"/>
          <w:i/>
          <w:iCs/>
          <w:szCs w:val="24"/>
        </w:rPr>
        <w:t>Journal of the American Geriatrics Society</w:t>
      </w:r>
      <w:r w:rsidRPr="00662E40">
        <w:rPr>
          <w:rFonts w:ascii="Times New Roman" w:hAnsi="Times New Roman"/>
          <w:szCs w:val="24"/>
        </w:rPr>
        <w:t xml:space="preserve">, </w:t>
      </w:r>
      <w:r w:rsidRPr="00662E40">
        <w:rPr>
          <w:rFonts w:ascii="Times New Roman" w:hAnsi="Times New Roman"/>
          <w:i/>
          <w:iCs/>
          <w:szCs w:val="24"/>
        </w:rPr>
        <w:t>44</w:t>
      </w:r>
      <w:r w:rsidRPr="00662E40">
        <w:rPr>
          <w:rFonts w:ascii="Times New Roman" w:hAnsi="Times New Roman"/>
          <w:szCs w:val="24"/>
        </w:rPr>
        <w:t>(2), 113–120. https://doi.org/10.1111/j.1532-5415.1996.tb02425.x</w:t>
      </w:r>
    </w:p>
    <w:p w14:paraId="44495663"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Leung, K. M., Chung, P.-K., Wang, D., &amp; Liu, J. D. (2018). Impact of physical and social environments on the walking behaviour of Hong Kong’s older adults. </w:t>
      </w:r>
      <w:r w:rsidRPr="00662E40">
        <w:rPr>
          <w:rFonts w:ascii="Times New Roman" w:hAnsi="Times New Roman"/>
          <w:i/>
          <w:iCs/>
          <w:szCs w:val="24"/>
        </w:rPr>
        <w:t>Journal of Transport &amp; Health</w:t>
      </w:r>
      <w:r w:rsidRPr="00662E40">
        <w:rPr>
          <w:rFonts w:ascii="Times New Roman" w:hAnsi="Times New Roman"/>
          <w:szCs w:val="24"/>
        </w:rPr>
        <w:t xml:space="preserve">, </w:t>
      </w:r>
      <w:r w:rsidRPr="00662E40">
        <w:rPr>
          <w:rFonts w:ascii="Times New Roman" w:hAnsi="Times New Roman"/>
          <w:i/>
          <w:iCs/>
          <w:szCs w:val="24"/>
        </w:rPr>
        <w:t>9</w:t>
      </w:r>
      <w:r w:rsidRPr="00662E40">
        <w:rPr>
          <w:rFonts w:ascii="Times New Roman" w:hAnsi="Times New Roman"/>
          <w:szCs w:val="24"/>
        </w:rPr>
        <w:t>, 299–308. https://doi.org/10.1016/j.jth.2018.03.002</w:t>
      </w:r>
    </w:p>
    <w:p w14:paraId="4C83F06D"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Li, S., Zhao, P., Zhang, H., &amp; Quan, J. (2019). Walking behavior in the old downtown Beijing: The impact of perceptions and attitudes and social variations. </w:t>
      </w:r>
      <w:r w:rsidRPr="00662E40">
        <w:rPr>
          <w:rFonts w:ascii="Times New Roman" w:hAnsi="Times New Roman"/>
          <w:i/>
          <w:iCs/>
          <w:szCs w:val="24"/>
        </w:rPr>
        <w:t>Transport Policy</w:t>
      </w:r>
      <w:r w:rsidRPr="00662E40">
        <w:rPr>
          <w:rFonts w:ascii="Times New Roman" w:hAnsi="Times New Roman"/>
          <w:szCs w:val="24"/>
        </w:rPr>
        <w:t xml:space="preserve">, </w:t>
      </w:r>
      <w:r w:rsidRPr="00662E40">
        <w:rPr>
          <w:rFonts w:ascii="Times New Roman" w:hAnsi="Times New Roman"/>
          <w:i/>
          <w:iCs/>
          <w:szCs w:val="24"/>
        </w:rPr>
        <w:t>73</w:t>
      </w:r>
      <w:r w:rsidRPr="00662E40">
        <w:rPr>
          <w:rFonts w:ascii="Times New Roman" w:hAnsi="Times New Roman"/>
          <w:szCs w:val="24"/>
        </w:rPr>
        <w:t>, 1–11. https://doi.org/10.1016/j.tranpol.2018.10.005</w:t>
      </w:r>
    </w:p>
    <w:p w14:paraId="7CAB64FA"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Li, Y., Kao, D., &amp; Dinh, T. Q. (2015). Correlates of Neighborhood Environment With Walking Among Older Asian Americans. </w:t>
      </w:r>
      <w:r w:rsidRPr="00662E40">
        <w:rPr>
          <w:rFonts w:ascii="Times New Roman" w:hAnsi="Times New Roman"/>
          <w:i/>
          <w:iCs/>
          <w:szCs w:val="24"/>
        </w:rPr>
        <w:t>Journal of Aging and Health</w:t>
      </w:r>
      <w:r w:rsidRPr="00662E40">
        <w:rPr>
          <w:rFonts w:ascii="Times New Roman" w:hAnsi="Times New Roman"/>
          <w:szCs w:val="24"/>
        </w:rPr>
        <w:t xml:space="preserve">, </w:t>
      </w:r>
      <w:r w:rsidRPr="00662E40">
        <w:rPr>
          <w:rFonts w:ascii="Times New Roman" w:hAnsi="Times New Roman"/>
          <w:i/>
          <w:iCs/>
          <w:szCs w:val="24"/>
        </w:rPr>
        <w:t>27</w:t>
      </w:r>
      <w:r w:rsidRPr="00662E40">
        <w:rPr>
          <w:rFonts w:ascii="Times New Roman" w:hAnsi="Times New Roman"/>
          <w:szCs w:val="24"/>
        </w:rPr>
        <w:t>(1), 17–34. https://doi.org/10.1177/0898264314535636</w:t>
      </w:r>
    </w:p>
    <w:p w14:paraId="564DD3CA" w14:textId="77777777" w:rsidR="00A9351C" w:rsidRPr="00662E40" w:rsidRDefault="00A9351C" w:rsidP="003964C4">
      <w:pPr>
        <w:pStyle w:val="Bibliography"/>
        <w:keepLines/>
        <w:spacing w:line="240" w:lineRule="auto"/>
        <w:ind w:left="540" w:hanging="540"/>
        <w:rPr>
          <w:rFonts w:ascii="Times New Roman" w:hAnsi="Times New Roman"/>
          <w:szCs w:val="24"/>
        </w:rPr>
      </w:pPr>
      <w:r w:rsidRPr="00662E40">
        <w:rPr>
          <w:rFonts w:ascii="Times New Roman" w:hAnsi="Times New Roman"/>
          <w:szCs w:val="24"/>
        </w:rPr>
        <w:lastRenderedPageBreak/>
        <w:t xml:space="preserve">Liao, Y., Huang, P.-H., Hsiang, C.-Y., Huang, J.-H., Hsueh, M.-C., &amp; Park, J.-H. (2017). Associations of Older Taiwanese Adults’ Personal Attributes and Perceptions of the Neighborhood Environment Concerning Walking for Recreation and Transportation. </w:t>
      </w:r>
      <w:r w:rsidRPr="00662E40">
        <w:rPr>
          <w:rFonts w:ascii="Times New Roman" w:hAnsi="Times New Roman"/>
          <w:i/>
          <w:iCs/>
          <w:szCs w:val="24"/>
        </w:rPr>
        <w:t>International Journal of Environmental Research and Public Health</w:t>
      </w:r>
      <w:r w:rsidRPr="00662E40">
        <w:rPr>
          <w:rFonts w:ascii="Times New Roman" w:hAnsi="Times New Roman"/>
          <w:szCs w:val="24"/>
        </w:rPr>
        <w:t xml:space="preserve">, </w:t>
      </w:r>
      <w:r w:rsidRPr="00662E40">
        <w:rPr>
          <w:rFonts w:ascii="Times New Roman" w:hAnsi="Times New Roman"/>
          <w:i/>
          <w:iCs/>
          <w:szCs w:val="24"/>
        </w:rPr>
        <w:t>14</w:t>
      </w:r>
      <w:r w:rsidRPr="00662E40">
        <w:rPr>
          <w:rFonts w:ascii="Times New Roman" w:hAnsi="Times New Roman"/>
          <w:szCs w:val="24"/>
        </w:rPr>
        <w:t>(12), Article 12. https://doi.org/10.3390/ijerph14121594</w:t>
      </w:r>
    </w:p>
    <w:p w14:paraId="02C2C7B9"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Liu, Y., &amp; Lachman, M. E. (2021). A Group-Based Walking Study to Enhance Physical Activity Among Older Adults: The Role of Social Engagement. </w:t>
      </w:r>
      <w:r w:rsidRPr="00662E40">
        <w:rPr>
          <w:rFonts w:ascii="Times New Roman" w:hAnsi="Times New Roman"/>
          <w:i/>
          <w:iCs/>
          <w:szCs w:val="24"/>
        </w:rPr>
        <w:t>Research on Aging</w:t>
      </w:r>
      <w:r w:rsidRPr="00662E40">
        <w:rPr>
          <w:rFonts w:ascii="Times New Roman" w:hAnsi="Times New Roman"/>
          <w:szCs w:val="24"/>
        </w:rPr>
        <w:t xml:space="preserve">, </w:t>
      </w:r>
      <w:r w:rsidRPr="00662E40">
        <w:rPr>
          <w:rFonts w:ascii="Times New Roman" w:hAnsi="Times New Roman"/>
          <w:i/>
          <w:iCs/>
          <w:szCs w:val="24"/>
        </w:rPr>
        <w:t>43</w:t>
      </w:r>
      <w:r w:rsidRPr="00662E40">
        <w:rPr>
          <w:rFonts w:ascii="Times New Roman" w:hAnsi="Times New Roman"/>
          <w:szCs w:val="24"/>
        </w:rPr>
        <w:t>(9–10), 368–377. https://doi.org/10.1177/0164027520963613</w:t>
      </w:r>
    </w:p>
    <w:p w14:paraId="0574C7CC"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Liu, Z., Kemperman, A., &amp; Timmermans, H. (2020). Correlates of older adults’ walking trip duration. </w:t>
      </w:r>
      <w:r w:rsidRPr="00662E40">
        <w:rPr>
          <w:rFonts w:ascii="Times New Roman" w:hAnsi="Times New Roman"/>
          <w:i/>
          <w:iCs/>
          <w:szCs w:val="24"/>
        </w:rPr>
        <w:t>Journal of Transport &amp; Health</w:t>
      </w:r>
      <w:r w:rsidRPr="00662E40">
        <w:rPr>
          <w:rFonts w:ascii="Times New Roman" w:hAnsi="Times New Roman"/>
          <w:szCs w:val="24"/>
        </w:rPr>
        <w:t xml:space="preserve">, </w:t>
      </w:r>
      <w:r w:rsidRPr="00662E40">
        <w:rPr>
          <w:rFonts w:ascii="Times New Roman" w:hAnsi="Times New Roman"/>
          <w:i/>
          <w:iCs/>
          <w:szCs w:val="24"/>
        </w:rPr>
        <w:t>18</w:t>
      </w:r>
      <w:r w:rsidRPr="00662E40">
        <w:rPr>
          <w:rFonts w:ascii="Times New Roman" w:hAnsi="Times New Roman"/>
          <w:szCs w:val="24"/>
        </w:rPr>
        <w:t>, 100889. https://doi.org/10.1016/j.jth.2020.100889</w:t>
      </w:r>
    </w:p>
    <w:p w14:paraId="6C218A71"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Maisel, J. L. (2016). Impact of Older Adults’ Neighborhood Perceptions on Walking Behavior. </w:t>
      </w:r>
      <w:r w:rsidRPr="00662E40">
        <w:rPr>
          <w:rFonts w:ascii="Times New Roman" w:hAnsi="Times New Roman"/>
          <w:i/>
          <w:iCs/>
          <w:szCs w:val="24"/>
        </w:rPr>
        <w:t>Journal of Aging and Physical Activity</w:t>
      </w:r>
      <w:r w:rsidRPr="00662E40">
        <w:rPr>
          <w:rFonts w:ascii="Times New Roman" w:hAnsi="Times New Roman"/>
          <w:szCs w:val="24"/>
        </w:rPr>
        <w:t xml:space="preserve">, </w:t>
      </w:r>
      <w:r w:rsidRPr="00662E40">
        <w:rPr>
          <w:rFonts w:ascii="Times New Roman" w:hAnsi="Times New Roman"/>
          <w:i/>
          <w:iCs/>
          <w:szCs w:val="24"/>
        </w:rPr>
        <w:t>24</w:t>
      </w:r>
      <w:r w:rsidRPr="00662E40">
        <w:rPr>
          <w:rFonts w:ascii="Times New Roman" w:hAnsi="Times New Roman"/>
          <w:szCs w:val="24"/>
        </w:rPr>
        <w:t>(2), 247–255. https://doi.org/10.1123/japa.2014-0278</w:t>
      </w:r>
    </w:p>
    <w:p w14:paraId="5DC8FDC3"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Marquez, D. X., Aguiñaga, S., Vásquez, P. M., Conroy, D. E., Erickson, K. I., Hillman, C., Stillman, C. M., Ballard, R. M., Sheppard, B. B., Petruzzello, S. J., King, A. C., &amp; Powell, K. E. (2020). A systematic review of physical activity and quality of life and well-being. </w:t>
      </w:r>
      <w:r w:rsidRPr="00662E40">
        <w:rPr>
          <w:rFonts w:ascii="Times New Roman" w:hAnsi="Times New Roman"/>
          <w:i/>
          <w:iCs/>
          <w:szCs w:val="24"/>
        </w:rPr>
        <w:t>Translational Behavioral Medicine</w:t>
      </w:r>
      <w:r w:rsidRPr="00662E40">
        <w:rPr>
          <w:rFonts w:ascii="Times New Roman" w:hAnsi="Times New Roman"/>
          <w:szCs w:val="24"/>
        </w:rPr>
        <w:t xml:space="preserve">, </w:t>
      </w:r>
      <w:r w:rsidRPr="00662E40">
        <w:rPr>
          <w:rFonts w:ascii="Times New Roman" w:hAnsi="Times New Roman"/>
          <w:i/>
          <w:iCs/>
          <w:szCs w:val="24"/>
        </w:rPr>
        <w:t>10</w:t>
      </w:r>
      <w:r w:rsidRPr="00662E40">
        <w:rPr>
          <w:rFonts w:ascii="Times New Roman" w:hAnsi="Times New Roman"/>
          <w:szCs w:val="24"/>
        </w:rPr>
        <w:t>(5), 1098–1109. https://doi.org/10.1093/tbm/ibz198</w:t>
      </w:r>
    </w:p>
    <w:p w14:paraId="02BC01FA"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Meads, C., &amp; Exley, J. (2018). A Systematic Review of Group Walking in Physically Healthy People to Promote Physical Activity. </w:t>
      </w:r>
      <w:r w:rsidRPr="00662E40">
        <w:rPr>
          <w:rFonts w:ascii="Times New Roman" w:hAnsi="Times New Roman"/>
          <w:i/>
          <w:iCs/>
          <w:szCs w:val="24"/>
        </w:rPr>
        <w:t>International Journal of Technology Assessment in Health Care</w:t>
      </w:r>
      <w:r w:rsidRPr="00662E40">
        <w:rPr>
          <w:rFonts w:ascii="Times New Roman" w:hAnsi="Times New Roman"/>
          <w:szCs w:val="24"/>
        </w:rPr>
        <w:t xml:space="preserve">, </w:t>
      </w:r>
      <w:r w:rsidRPr="00662E40">
        <w:rPr>
          <w:rFonts w:ascii="Times New Roman" w:hAnsi="Times New Roman"/>
          <w:i/>
          <w:iCs/>
          <w:szCs w:val="24"/>
        </w:rPr>
        <w:t>34</w:t>
      </w:r>
      <w:r w:rsidRPr="00662E40">
        <w:rPr>
          <w:rFonts w:ascii="Times New Roman" w:hAnsi="Times New Roman"/>
          <w:szCs w:val="24"/>
        </w:rPr>
        <w:t>(1), 27–37. https://doi.org/10.1017/S0266462317001088</w:t>
      </w:r>
    </w:p>
    <w:p w14:paraId="01A48906"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Mizuta, S., Uchida, K., Sawa, R., Nakamura, J., Encho, H., Akisue, T., &amp; Ono, R. (2023). Context of walking and loneliness among community-dwelling older adults: A cross-sectional study. </w:t>
      </w:r>
      <w:r w:rsidRPr="00662E40">
        <w:rPr>
          <w:rFonts w:ascii="Times New Roman" w:hAnsi="Times New Roman"/>
          <w:i/>
          <w:iCs/>
          <w:szCs w:val="24"/>
        </w:rPr>
        <w:t>BMC Geriatrics</w:t>
      </w:r>
      <w:r w:rsidRPr="00662E40">
        <w:rPr>
          <w:rFonts w:ascii="Times New Roman" w:hAnsi="Times New Roman"/>
          <w:szCs w:val="24"/>
        </w:rPr>
        <w:t xml:space="preserve">, </w:t>
      </w:r>
      <w:r w:rsidRPr="00662E40">
        <w:rPr>
          <w:rFonts w:ascii="Times New Roman" w:hAnsi="Times New Roman"/>
          <w:i/>
          <w:iCs/>
          <w:szCs w:val="24"/>
        </w:rPr>
        <w:t>23</w:t>
      </w:r>
      <w:r w:rsidRPr="00662E40">
        <w:rPr>
          <w:rFonts w:ascii="Times New Roman" w:hAnsi="Times New Roman"/>
          <w:szCs w:val="24"/>
        </w:rPr>
        <w:t>(1), 326. https://doi.org/10.1186/s12877-023-04043-5</w:t>
      </w:r>
    </w:p>
    <w:p w14:paraId="20295D50"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Mohan, S., Venkatakrishnan, A., &amp; Hartzler, A. L. (2020). Designing an AI Health Coach and Studying Its Utility in Promoting Regular Aerobic Exercise. </w:t>
      </w:r>
      <w:r w:rsidRPr="00662E40">
        <w:rPr>
          <w:rFonts w:ascii="Times New Roman" w:hAnsi="Times New Roman"/>
          <w:i/>
          <w:iCs/>
          <w:szCs w:val="24"/>
        </w:rPr>
        <w:t>ACM Transactions on Interactive Intelligent Systems</w:t>
      </w:r>
      <w:r w:rsidRPr="00662E40">
        <w:rPr>
          <w:rFonts w:ascii="Times New Roman" w:hAnsi="Times New Roman"/>
          <w:szCs w:val="24"/>
        </w:rPr>
        <w:t xml:space="preserve">, </w:t>
      </w:r>
      <w:r w:rsidRPr="00662E40">
        <w:rPr>
          <w:rFonts w:ascii="Times New Roman" w:hAnsi="Times New Roman"/>
          <w:i/>
          <w:iCs/>
          <w:szCs w:val="24"/>
        </w:rPr>
        <w:t>10</w:t>
      </w:r>
      <w:r w:rsidRPr="00662E40">
        <w:rPr>
          <w:rFonts w:ascii="Times New Roman" w:hAnsi="Times New Roman"/>
          <w:szCs w:val="24"/>
        </w:rPr>
        <w:t>(2), 1–30. https://doi.org/10.1145/3366501</w:t>
      </w:r>
    </w:p>
    <w:p w14:paraId="6DED7E07"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Morita, Yokoyama, Imai, Takeda, Ota, Kawai, Hisada, Emoto, Suzuki, &amp; Okazaki. (2019). Aerobic Exercise Training with Brisk Walking Increases Intestinal Bacteroides in Healthy Elderly Women. </w:t>
      </w:r>
      <w:r w:rsidRPr="00662E40">
        <w:rPr>
          <w:rFonts w:ascii="Times New Roman" w:hAnsi="Times New Roman"/>
          <w:i/>
          <w:iCs/>
          <w:szCs w:val="24"/>
        </w:rPr>
        <w:t>Nutrients</w:t>
      </w:r>
      <w:r w:rsidRPr="00662E40">
        <w:rPr>
          <w:rFonts w:ascii="Times New Roman" w:hAnsi="Times New Roman"/>
          <w:szCs w:val="24"/>
        </w:rPr>
        <w:t xml:space="preserve">, </w:t>
      </w:r>
      <w:r w:rsidRPr="00662E40">
        <w:rPr>
          <w:rFonts w:ascii="Times New Roman" w:hAnsi="Times New Roman"/>
          <w:i/>
          <w:iCs/>
          <w:szCs w:val="24"/>
        </w:rPr>
        <w:t>11</w:t>
      </w:r>
      <w:r w:rsidRPr="00662E40">
        <w:rPr>
          <w:rFonts w:ascii="Times New Roman" w:hAnsi="Times New Roman"/>
          <w:szCs w:val="24"/>
        </w:rPr>
        <w:t>(4), 868. https://doi.org/10.3390/nu11040868</w:t>
      </w:r>
    </w:p>
    <w:p w14:paraId="4B08B38A"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Morning Consult. (2023). </w:t>
      </w:r>
      <w:r w:rsidRPr="00662E40">
        <w:rPr>
          <w:rFonts w:ascii="Times New Roman" w:hAnsi="Times New Roman"/>
          <w:i/>
          <w:iCs/>
          <w:szCs w:val="24"/>
        </w:rPr>
        <w:t>Use of wearable fitness or wellness technologies in the United States as of 2023, by age</w:t>
      </w:r>
      <w:r w:rsidRPr="00662E40">
        <w:rPr>
          <w:rFonts w:ascii="Times New Roman" w:hAnsi="Times New Roman"/>
          <w:szCs w:val="24"/>
        </w:rPr>
        <w:t xml:space="preserve"> [dataset]. https://www.statista.com/statistics/1424304/use-of-fitness-wearables-in-the-us-by-age/</w:t>
      </w:r>
    </w:p>
    <w:p w14:paraId="27DC8109"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Nagel, C. L., Carlson, N. E., Bosworth, M., &amp; Michael, Y. L. (2008). The Relation between Neighborhood Built Environment and Walking Activity among Older Adults. </w:t>
      </w:r>
      <w:r w:rsidRPr="00662E40">
        <w:rPr>
          <w:rFonts w:ascii="Times New Roman" w:hAnsi="Times New Roman"/>
          <w:i/>
          <w:iCs/>
          <w:szCs w:val="24"/>
        </w:rPr>
        <w:t>American Journal of Epidemiology</w:t>
      </w:r>
      <w:r w:rsidRPr="00662E40">
        <w:rPr>
          <w:rFonts w:ascii="Times New Roman" w:hAnsi="Times New Roman"/>
          <w:szCs w:val="24"/>
        </w:rPr>
        <w:t xml:space="preserve">, </w:t>
      </w:r>
      <w:r w:rsidRPr="00662E40">
        <w:rPr>
          <w:rFonts w:ascii="Times New Roman" w:hAnsi="Times New Roman"/>
          <w:i/>
          <w:iCs/>
          <w:szCs w:val="24"/>
        </w:rPr>
        <w:t>168</w:t>
      </w:r>
      <w:r w:rsidRPr="00662E40">
        <w:rPr>
          <w:rFonts w:ascii="Times New Roman" w:hAnsi="Times New Roman"/>
          <w:szCs w:val="24"/>
        </w:rPr>
        <w:t>(4), 461–468. https://doi.org/10.1093/aje/kwn158</w:t>
      </w:r>
    </w:p>
    <w:p w14:paraId="514F102F"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National Center for Health Statistics. (2019). </w:t>
      </w:r>
      <w:r w:rsidRPr="00662E40">
        <w:rPr>
          <w:rFonts w:ascii="Times New Roman" w:hAnsi="Times New Roman"/>
          <w:i/>
          <w:iCs/>
          <w:szCs w:val="24"/>
        </w:rPr>
        <w:t>Health, America, 2019: Table 25</w:t>
      </w:r>
      <w:r w:rsidRPr="00662E40">
        <w:rPr>
          <w:rFonts w:ascii="Times New Roman" w:hAnsi="Times New Roman"/>
          <w:szCs w:val="24"/>
        </w:rPr>
        <w:t xml:space="preserve"> [dataset]. https://www.cdc.gov/nchs/hus/contents2019.htm</w:t>
      </w:r>
    </w:p>
    <w:p w14:paraId="612CB3B6"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Oja, P., Kelly, P., Murtagh, E. M., Murphy, M. H., Foster, C., &amp; Titze, S. (2018). Effects of frequency, intensity, duration and volume of walking interventions on CVD risk factors: A systematic review and meta-regression analysis of randomised controlled trials among inactive healthy adults. </w:t>
      </w:r>
      <w:r w:rsidRPr="00662E40">
        <w:rPr>
          <w:rFonts w:ascii="Times New Roman" w:hAnsi="Times New Roman"/>
          <w:i/>
          <w:iCs/>
          <w:szCs w:val="24"/>
        </w:rPr>
        <w:t>British Journal of Sports Medicine</w:t>
      </w:r>
      <w:r w:rsidRPr="00662E40">
        <w:rPr>
          <w:rFonts w:ascii="Times New Roman" w:hAnsi="Times New Roman"/>
          <w:szCs w:val="24"/>
        </w:rPr>
        <w:t xml:space="preserve">, </w:t>
      </w:r>
      <w:r w:rsidRPr="00662E40">
        <w:rPr>
          <w:rFonts w:ascii="Times New Roman" w:hAnsi="Times New Roman"/>
          <w:i/>
          <w:iCs/>
          <w:szCs w:val="24"/>
        </w:rPr>
        <w:t>52</w:t>
      </w:r>
      <w:r w:rsidRPr="00662E40">
        <w:rPr>
          <w:rFonts w:ascii="Times New Roman" w:hAnsi="Times New Roman"/>
          <w:szCs w:val="24"/>
        </w:rPr>
        <w:t>(12), 769–775. https://doi.org/10.1136/bjsports-2017-098558</w:t>
      </w:r>
    </w:p>
    <w:p w14:paraId="0AF748C1" w14:textId="77777777" w:rsidR="00A9351C" w:rsidRPr="00662E40" w:rsidRDefault="00A9351C" w:rsidP="003964C4">
      <w:pPr>
        <w:pStyle w:val="Bibliography"/>
        <w:keepLines/>
        <w:spacing w:line="240" w:lineRule="auto"/>
        <w:ind w:left="540" w:hanging="540"/>
        <w:rPr>
          <w:rFonts w:ascii="Times New Roman" w:hAnsi="Times New Roman"/>
          <w:szCs w:val="24"/>
        </w:rPr>
      </w:pPr>
      <w:r w:rsidRPr="00662E40">
        <w:rPr>
          <w:rFonts w:ascii="Times New Roman" w:hAnsi="Times New Roman"/>
          <w:szCs w:val="24"/>
        </w:rPr>
        <w:lastRenderedPageBreak/>
        <w:t xml:space="preserve">Oliveira, J. S., Sherrington, C., Amorim, A. B., Dario, A. B., &amp; Tiedemann, A. (2017). What is the effect of health coaching on physical activity participation in people aged 60 years and over? A systematic review of randomised controlled trials. </w:t>
      </w:r>
      <w:r w:rsidRPr="00662E40">
        <w:rPr>
          <w:rFonts w:ascii="Times New Roman" w:hAnsi="Times New Roman"/>
          <w:i/>
          <w:iCs/>
          <w:szCs w:val="24"/>
        </w:rPr>
        <w:t>British Journal of Sports Medicine</w:t>
      </w:r>
      <w:r w:rsidRPr="00662E40">
        <w:rPr>
          <w:rFonts w:ascii="Times New Roman" w:hAnsi="Times New Roman"/>
          <w:szCs w:val="24"/>
        </w:rPr>
        <w:t xml:space="preserve">, </w:t>
      </w:r>
      <w:r w:rsidRPr="00662E40">
        <w:rPr>
          <w:rFonts w:ascii="Times New Roman" w:hAnsi="Times New Roman"/>
          <w:i/>
          <w:iCs/>
          <w:szCs w:val="24"/>
        </w:rPr>
        <w:t>51</w:t>
      </w:r>
      <w:r w:rsidRPr="00662E40">
        <w:rPr>
          <w:rFonts w:ascii="Times New Roman" w:hAnsi="Times New Roman"/>
          <w:szCs w:val="24"/>
        </w:rPr>
        <w:t>(19), 1425–1432. https://doi.org/10.1136/bjsports-2016-096943</w:t>
      </w:r>
    </w:p>
    <w:p w14:paraId="4BAEBC59"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Omura, J. D., Ussery, E. N., Loustalot, F., Fulton, J. E., &amp; Carlson, S. A. (2019). Walking as an Opportunity for Cardiovascular Disease Prevention. </w:t>
      </w:r>
      <w:r w:rsidRPr="00662E40">
        <w:rPr>
          <w:rFonts w:ascii="Times New Roman" w:hAnsi="Times New Roman"/>
          <w:i/>
          <w:iCs/>
          <w:szCs w:val="24"/>
        </w:rPr>
        <w:t>Preventing Chronic Disease</w:t>
      </w:r>
      <w:r w:rsidRPr="00662E40">
        <w:rPr>
          <w:rFonts w:ascii="Times New Roman" w:hAnsi="Times New Roman"/>
          <w:szCs w:val="24"/>
        </w:rPr>
        <w:t xml:space="preserve">, </w:t>
      </w:r>
      <w:r w:rsidRPr="00662E40">
        <w:rPr>
          <w:rFonts w:ascii="Times New Roman" w:hAnsi="Times New Roman"/>
          <w:i/>
          <w:iCs/>
          <w:szCs w:val="24"/>
        </w:rPr>
        <w:t>16</w:t>
      </w:r>
      <w:r w:rsidRPr="00662E40">
        <w:rPr>
          <w:rFonts w:ascii="Times New Roman" w:hAnsi="Times New Roman"/>
          <w:szCs w:val="24"/>
        </w:rPr>
        <w:t>, 180690. https://doi.org/10.5888/pcd16.180690</w:t>
      </w:r>
    </w:p>
    <w:p w14:paraId="097C90EE"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Patel, A. V., Hildebrand, J. S., Leach, C. R., Campbell, P. T., Doyle, C., Shuval, K., Wang, Y., &amp; Gapstur, S. M. (2018). Walking in Relation to Mortality in a Large Prospective Cohort of Older U.S. Adults. </w:t>
      </w:r>
      <w:r w:rsidRPr="00662E40">
        <w:rPr>
          <w:rFonts w:ascii="Times New Roman" w:hAnsi="Times New Roman"/>
          <w:i/>
          <w:iCs/>
          <w:szCs w:val="24"/>
        </w:rPr>
        <w:t>American Journal of Preventive Medicine</w:t>
      </w:r>
      <w:r w:rsidRPr="00662E40">
        <w:rPr>
          <w:rFonts w:ascii="Times New Roman" w:hAnsi="Times New Roman"/>
          <w:szCs w:val="24"/>
        </w:rPr>
        <w:t xml:space="preserve">, </w:t>
      </w:r>
      <w:r w:rsidRPr="00662E40">
        <w:rPr>
          <w:rFonts w:ascii="Times New Roman" w:hAnsi="Times New Roman"/>
          <w:i/>
          <w:iCs/>
          <w:szCs w:val="24"/>
        </w:rPr>
        <w:t>54</w:t>
      </w:r>
      <w:r w:rsidRPr="00662E40">
        <w:rPr>
          <w:rFonts w:ascii="Times New Roman" w:hAnsi="Times New Roman"/>
          <w:szCs w:val="24"/>
        </w:rPr>
        <w:t>(1), 10–19. https://doi.org/10.1016/j.amepre.2017.08.019</w:t>
      </w:r>
    </w:p>
    <w:p w14:paraId="0AD0B1D6"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Paul, P., Carlson, S. A., Carroll, D. D., Berrigan, D., &amp; Fulton, J. E. (2015). Walking for Transportation and Leisure among U.S. Adults—National Health Interview Survey 2010. </w:t>
      </w:r>
      <w:r w:rsidRPr="00662E40">
        <w:rPr>
          <w:rFonts w:ascii="Times New Roman" w:hAnsi="Times New Roman"/>
          <w:i/>
          <w:iCs/>
          <w:szCs w:val="24"/>
        </w:rPr>
        <w:t>Journal of Physical Activity and Health</w:t>
      </w:r>
      <w:r w:rsidRPr="00662E40">
        <w:rPr>
          <w:rFonts w:ascii="Times New Roman" w:hAnsi="Times New Roman"/>
          <w:szCs w:val="24"/>
        </w:rPr>
        <w:t xml:space="preserve">, </w:t>
      </w:r>
      <w:r w:rsidRPr="00662E40">
        <w:rPr>
          <w:rFonts w:ascii="Times New Roman" w:hAnsi="Times New Roman"/>
          <w:i/>
          <w:iCs/>
          <w:szCs w:val="24"/>
        </w:rPr>
        <w:t>12</w:t>
      </w:r>
      <w:r w:rsidRPr="00662E40">
        <w:rPr>
          <w:rFonts w:ascii="Times New Roman" w:hAnsi="Times New Roman"/>
          <w:szCs w:val="24"/>
        </w:rPr>
        <w:t>(s1), Article s1. https://doi.org/10.1123/jpah.2013-0519</w:t>
      </w:r>
    </w:p>
    <w:p w14:paraId="03431B23"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Paydar, M., &amp; Fard, A. K. (2021). The Contribution of Socio-Demographic Factors to Walking Behavior Considering Destination Types; Case Study: Temuco, Chile. </w:t>
      </w:r>
      <w:r w:rsidRPr="00662E40">
        <w:rPr>
          <w:rFonts w:ascii="Times New Roman" w:hAnsi="Times New Roman"/>
          <w:i/>
          <w:iCs/>
          <w:szCs w:val="24"/>
        </w:rPr>
        <w:t>Social Sciences</w:t>
      </w:r>
      <w:r w:rsidRPr="00662E40">
        <w:rPr>
          <w:rFonts w:ascii="Times New Roman" w:hAnsi="Times New Roman"/>
          <w:szCs w:val="24"/>
        </w:rPr>
        <w:t xml:space="preserve">, </w:t>
      </w:r>
      <w:r w:rsidRPr="00662E40">
        <w:rPr>
          <w:rFonts w:ascii="Times New Roman" w:hAnsi="Times New Roman"/>
          <w:i/>
          <w:iCs/>
          <w:szCs w:val="24"/>
        </w:rPr>
        <w:t>10</w:t>
      </w:r>
      <w:r w:rsidRPr="00662E40">
        <w:rPr>
          <w:rFonts w:ascii="Times New Roman" w:hAnsi="Times New Roman"/>
          <w:szCs w:val="24"/>
        </w:rPr>
        <w:t>(12), 479. https://doi.org/10.3390/socsci10120479</w:t>
      </w:r>
    </w:p>
    <w:p w14:paraId="4074D0A0"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Phillips, S. (2022, August 3). This Is the Phase of the Pandemic Where Life Returns To Normal. </w:t>
      </w:r>
      <w:r w:rsidRPr="00662E40">
        <w:rPr>
          <w:rFonts w:ascii="Times New Roman" w:hAnsi="Times New Roman"/>
          <w:i/>
          <w:iCs/>
          <w:szCs w:val="24"/>
        </w:rPr>
        <w:t>Time</w:t>
      </w:r>
      <w:r w:rsidRPr="00662E40">
        <w:rPr>
          <w:rFonts w:ascii="Times New Roman" w:hAnsi="Times New Roman"/>
          <w:szCs w:val="24"/>
        </w:rPr>
        <w:t>. https://time.com/6203058/covid-19-pandemic-return-to-normal-column/</w:t>
      </w:r>
    </w:p>
    <w:p w14:paraId="5C746BD5"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Prasertsri, P., Phoemsapthawee, J., Kuamsub, S., Poolpol, K., &amp; Boonla, O. (2022). Effects of Long-Term Regular Continuous and Intermittent Walking on Oxidative Stress, Metabolic Profile, Heart Rate Variability, and Blood Pressure in Older Adults with Hypertension. </w:t>
      </w:r>
      <w:r w:rsidRPr="00662E40">
        <w:rPr>
          <w:rFonts w:ascii="Times New Roman" w:hAnsi="Times New Roman"/>
          <w:i/>
          <w:iCs/>
          <w:szCs w:val="24"/>
        </w:rPr>
        <w:t>Journal of Environmental and Public Health</w:t>
      </w:r>
      <w:r w:rsidRPr="00662E40">
        <w:rPr>
          <w:rFonts w:ascii="Times New Roman" w:hAnsi="Times New Roman"/>
          <w:szCs w:val="24"/>
        </w:rPr>
        <w:t xml:space="preserve">, </w:t>
      </w:r>
      <w:r w:rsidRPr="00662E40">
        <w:rPr>
          <w:rFonts w:ascii="Times New Roman" w:hAnsi="Times New Roman"/>
          <w:i/>
          <w:iCs/>
          <w:szCs w:val="24"/>
        </w:rPr>
        <w:t>2022</w:t>
      </w:r>
      <w:r w:rsidRPr="00662E40">
        <w:rPr>
          <w:rFonts w:ascii="Times New Roman" w:hAnsi="Times New Roman"/>
          <w:szCs w:val="24"/>
        </w:rPr>
        <w:t>, 1–12. https://doi.org/10.1155/2022/5942947</w:t>
      </w:r>
    </w:p>
    <w:p w14:paraId="7959B5D3"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Richardson, A. S., Ghosh-Dastidar, M., Collins, R. L., Hunter, G. P., Troxel, W. M., Colabianchi, N., Cohen, D. A., &amp; Dubowitz, T. (2020). Improved Street Walkability, Incivilities, and Esthetics Are Associated with Greater Park Use in Two Low-Income Neighborhoods. </w:t>
      </w:r>
      <w:r w:rsidRPr="00662E40">
        <w:rPr>
          <w:rFonts w:ascii="Times New Roman" w:hAnsi="Times New Roman"/>
          <w:i/>
          <w:iCs/>
          <w:szCs w:val="24"/>
        </w:rPr>
        <w:t>Journal of Urban Health</w:t>
      </w:r>
      <w:r w:rsidRPr="00662E40">
        <w:rPr>
          <w:rFonts w:ascii="Times New Roman" w:hAnsi="Times New Roman"/>
          <w:szCs w:val="24"/>
        </w:rPr>
        <w:t xml:space="preserve">, </w:t>
      </w:r>
      <w:r w:rsidRPr="00662E40">
        <w:rPr>
          <w:rFonts w:ascii="Times New Roman" w:hAnsi="Times New Roman"/>
          <w:i/>
          <w:iCs/>
          <w:szCs w:val="24"/>
        </w:rPr>
        <w:t>97</w:t>
      </w:r>
      <w:r w:rsidRPr="00662E40">
        <w:rPr>
          <w:rFonts w:ascii="Times New Roman" w:hAnsi="Times New Roman"/>
          <w:szCs w:val="24"/>
        </w:rPr>
        <w:t>(2), 204–212. https://doi.org/10.1007/s11524-019-00416-7</w:t>
      </w:r>
    </w:p>
    <w:p w14:paraId="01A14BA1"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Rigby, B. P., Dodd-Reynolds, C. J., &amp; Oliver, E. J. (2020). Inequities and inequalities in outdoor walking groups: A scoping review. </w:t>
      </w:r>
      <w:r w:rsidRPr="00662E40">
        <w:rPr>
          <w:rFonts w:ascii="Times New Roman" w:hAnsi="Times New Roman"/>
          <w:i/>
          <w:iCs/>
          <w:szCs w:val="24"/>
        </w:rPr>
        <w:t>Public Health Reviews</w:t>
      </w:r>
      <w:r w:rsidRPr="00662E40">
        <w:rPr>
          <w:rFonts w:ascii="Times New Roman" w:hAnsi="Times New Roman"/>
          <w:szCs w:val="24"/>
        </w:rPr>
        <w:t xml:space="preserve">, </w:t>
      </w:r>
      <w:r w:rsidRPr="00662E40">
        <w:rPr>
          <w:rFonts w:ascii="Times New Roman" w:hAnsi="Times New Roman"/>
          <w:i/>
          <w:iCs/>
          <w:szCs w:val="24"/>
        </w:rPr>
        <w:t>41</w:t>
      </w:r>
      <w:r w:rsidRPr="00662E40">
        <w:rPr>
          <w:rFonts w:ascii="Times New Roman" w:hAnsi="Times New Roman"/>
          <w:szCs w:val="24"/>
        </w:rPr>
        <w:t>(1), 4. https://doi.org/10.1186/s40985-020-00119-4</w:t>
      </w:r>
    </w:p>
    <w:p w14:paraId="23DF093A"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Rišová, K., &amp; Sládeková Madajová, M. (2020). Gender differences in a walking environment safety perception: A case study in a small town of Banská Bystrica (Slovakia). </w:t>
      </w:r>
      <w:r w:rsidRPr="00662E40">
        <w:rPr>
          <w:rFonts w:ascii="Times New Roman" w:hAnsi="Times New Roman"/>
          <w:i/>
          <w:iCs/>
          <w:szCs w:val="24"/>
        </w:rPr>
        <w:t>Journal of Transport Geography</w:t>
      </w:r>
      <w:r w:rsidRPr="00662E40">
        <w:rPr>
          <w:rFonts w:ascii="Times New Roman" w:hAnsi="Times New Roman"/>
          <w:szCs w:val="24"/>
        </w:rPr>
        <w:t xml:space="preserve">, </w:t>
      </w:r>
      <w:r w:rsidRPr="00662E40">
        <w:rPr>
          <w:rFonts w:ascii="Times New Roman" w:hAnsi="Times New Roman"/>
          <w:i/>
          <w:iCs/>
          <w:szCs w:val="24"/>
        </w:rPr>
        <w:t>85</w:t>
      </w:r>
      <w:r w:rsidRPr="00662E40">
        <w:rPr>
          <w:rFonts w:ascii="Times New Roman" w:hAnsi="Times New Roman"/>
          <w:szCs w:val="24"/>
        </w:rPr>
        <w:t>, 102723. https://doi.org/10.1016/j.jtrangeo.2020.102723</w:t>
      </w:r>
    </w:p>
    <w:p w14:paraId="3E71B037"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Rizka, M., Laksmi Ambardini, R., Adhi Virama, L. O., &amp; Yudhistira, D. (2022). The Effect of Walking Exercise on Blood Pressure and Blood Glucose in the Elderly. </w:t>
      </w:r>
      <w:r w:rsidRPr="00662E40">
        <w:rPr>
          <w:rFonts w:ascii="Times New Roman" w:hAnsi="Times New Roman"/>
          <w:i/>
          <w:iCs/>
          <w:szCs w:val="24"/>
        </w:rPr>
        <w:t>International Journal of Kinesiology and Sports Science</w:t>
      </w:r>
      <w:r w:rsidRPr="00662E40">
        <w:rPr>
          <w:rFonts w:ascii="Times New Roman" w:hAnsi="Times New Roman"/>
          <w:szCs w:val="24"/>
        </w:rPr>
        <w:t xml:space="preserve">, </w:t>
      </w:r>
      <w:r w:rsidRPr="00662E40">
        <w:rPr>
          <w:rFonts w:ascii="Times New Roman" w:hAnsi="Times New Roman"/>
          <w:i/>
          <w:iCs/>
          <w:szCs w:val="24"/>
        </w:rPr>
        <w:t>10</w:t>
      </w:r>
      <w:r w:rsidRPr="00662E40">
        <w:rPr>
          <w:rFonts w:ascii="Times New Roman" w:hAnsi="Times New Roman"/>
          <w:szCs w:val="24"/>
        </w:rPr>
        <w:t>(1), 30–35. https://doi.org/10.7575/aiac.ijkss.v.10n.1p.30</w:t>
      </w:r>
    </w:p>
    <w:p w14:paraId="2A821186"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Rodrigue, L., El-Geneidy, A., &amp; Manaugh, K. (2024). Sociodemographic matters: Analyzing interactions of individuals’ characteristics with walkability when modelling walking behavior. </w:t>
      </w:r>
      <w:r w:rsidRPr="00662E40">
        <w:rPr>
          <w:rFonts w:ascii="Times New Roman" w:hAnsi="Times New Roman"/>
          <w:i/>
          <w:iCs/>
          <w:szCs w:val="24"/>
        </w:rPr>
        <w:t>Journal of Transport Geography</w:t>
      </w:r>
      <w:r w:rsidRPr="00662E40">
        <w:rPr>
          <w:rFonts w:ascii="Times New Roman" w:hAnsi="Times New Roman"/>
          <w:szCs w:val="24"/>
        </w:rPr>
        <w:t xml:space="preserve">, </w:t>
      </w:r>
      <w:r w:rsidRPr="00662E40">
        <w:rPr>
          <w:rFonts w:ascii="Times New Roman" w:hAnsi="Times New Roman"/>
          <w:i/>
          <w:iCs/>
          <w:szCs w:val="24"/>
        </w:rPr>
        <w:t>114</w:t>
      </w:r>
      <w:r w:rsidRPr="00662E40">
        <w:rPr>
          <w:rFonts w:ascii="Times New Roman" w:hAnsi="Times New Roman"/>
          <w:szCs w:val="24"/>
        </w:rPr>
        <w:t>, 103788. https://doi.org/10.1016/j.jtrangeo.2023.103788</w:t>
      </w:r>
    </w:p>
    <w:p w14:paraId="5AE71440"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lastRenderedPageBreak/>
        <w:t xml:space="preserve">Roe, J., Mondschein, A., Neale, C., Barnes, L., Boukhechba, M., &amp; Lopez, S. (2020). The Urban Built Environment, Walking and Mental Health Outcomes Among Older Adults: A Pilot Study. </w:t>
      </w:r>
      <w:r w:rsidRPr="00662E40">
        <w:rPr>
          <w:rFonts w:ascii="Times New Roman" w:hAnsi="Times New Roman"/>
          <w:i/>
          <w:iCs/>
          <w:szCs w:val="24"/>
        </w:rPr>
        <w:t>Frontiers in Public Health</w:t>
      </w:r>
      <w:r w:rsidRPr="00662E40">
        <w:rPr>
          <w:rFonts w:ascii="Times New Roman" w:hAnsi="Times New Roman"/>
          <w:szCs w:val="24"/>
        </w:rPr>
        <w:t xml:space="preserve">, </w:t>
      </w:r>
      <w:r w:rsidRPr="00662E40">
        <w:rPr>
          <w:rFonts w:ascii="Times New Roman" w:hAnsi="Times New Roman"/>
          <w:i/>
          <w:iCs/>
          <w:szCs w:val="24"/>
        </w:rPr>
        <w:t>8</w:t>
      </w:r>
      <w:r w:rsidRPr="00662E40">
        <w:rPr>
          <w:rFonts w:ascii="Times New Roman" w:hAnsi="Times New Roman"/>
          <w:szCs w:val="24"/>
        </w:rPr>
        <w:t>, 575946. https://doi.org/10.3389/fpubh.2020.575946</w:t>
      </w:r>
    </w:p>
    <w:p w14:paraId="6E00BB88"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Rothman, L., Buliung, R., Howard, A., Macarthur, C., &amp; Macpherson, A. (2017). The school environment and student car drop-off at elementary schools. </w:t>
      </w:r>
      <w:r w:rsidRPr="00662E40">
        <w:rPr>
          <w:rFonts w:ascii="Times New Roman" w:hAnsi="Times New Roman"/>
          <w:i/>
          <w:iCs/>
          <w:szCs w:val="24"/>
        </w:rPr>
        <w:t>Travel Behaviour and Society</w:t>
      </w:r>
      <w:r w:rsidRPr="00662E40">
        <w:rPr>
          <w:rFonts w:ascii="Times New Roman" w:hAnsi="Times New Roman"/>
          <w:szCs w:val="24"/>
        </w:rPr>
        <w:t xml:space="preserve">, </w:t>
      </w:r>
      <w:r w:rsidRPr="00662E40">
        <w:rPr>
          <w:rFonts w:ascii="Times New Roman" w:hAnsi="Times New Roman"/>
          <w:i/>
          <w:iCs/>
          <w:szCs w:val="24"/>
        </w:rPr>
        <w:t>9</w:t>
      </w:r>
      <w:r w:rsidRPr="00662E40">
        <w:rPr>
          <w:rFonts w:ascii="Times New Roman" w:hAnsi="Times New Roman"/>
          <w:szCs w:val="24"/>
        </w:rPr>
        <w:t>, 50–57. https://doi.org/10.1016/j.tbs.2017.03.001</w:t>
      </w:r>
    </w:p>
    <w:p w14:paraId="2D2739E8"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Rothman, L., Ling, R., Hagel, B. E., Macarthur, C., Macpherson, A. K., Buliung, R., Fuselli, P., &amp; Howard, A. W. (2022). Pilot study to evaluate school safety zone built environment interventions. </w:t>
      </w:r>
      <w:r w:rsidRPr="00662E40">
        <w:rPr>
          <w:rFonts w:ascii="Times New Roman" w:hAnsi="Times New Roman"/>
          <w:i/>
          <w:iCs/>
          <w:szCs w:val="24"/>
        </w:rPr>
        <w:t>Injury Prevention</w:t>
      </w:r>
      <w:r w:rsidRPr="00662E40">
        <w:rPr>
          <w:rFonts w:ascii="Times New Roman" w:hAnsi="Times New Roman"/>
          <w:szCs w:val="24"/>
        </w:rPr>
        <w:t xml:space="preserve">, </w:t>
      </w:r>
      <w:r w:rsidRPr="00662E40">
        <w:rPr>
          <w:rFonts w:ascii="Times New Roman" w:hAnsi="Times New Roman"/>
          <w:i/>
          <w:iCs/>
          <w:szCs w:val="24"/>
        </w:rPr>
        <w:t>28</w:t>
      </w:r>
      <w:r w:rsidRPr="00662E40">
        <w:rPr>
          <w:rFonts w:ascii="Times New Roman" w:hAnsi="Times New Roman"/>
          <w:szCs w:val="24"/>
        </w:rPr>
        <w:t>(3), 243–248. https://doi.org/10.1136/injuryprev-2021-044299</w:t>
      </w:r>
    </w:p>
    <w:p w14:paraId="54E54987"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Sallis, J. F., Owen, N., Fisher, E., &amp; others. (2015). Ecological models of health behavior. </w:t>
      </w:r>
      <w:r w:rsidRPr="00662E40">
        <w:rPr>
          <w:rFonts w:ascii="Times New Roman" w:hAnsi="Times New Roman"/>
          <w:i/>
          <w:iCs/>
          <w:szCs w:val="24"/>
        </w:rPr>
        <w:t>Health Behavior: Theory, Research, and Practice</w:t>
      </w:r>
      <w:r w:rsidRPr="00662E40">
        <w:rPr>
          <w:rFonts w:ascii="Times New Roman" w:hAnsi="Times New Roman"/>
          <w:szCs w:val="24"/>
        </w:rPr>
        <w:t xml:space="preserve">, </w:t>
      </w:r>
      <w:r w:rsidRPr="00662E40">
        <w:rPr>
          <w:rFonts w:ascii="Times New Roman" w:hAnsi="Times New Roman"/>
          <w:i/>
          <w:iCs/>
          <w:szCs w:val="24"/>
        </w:rPr>
        <w:t>5</w:t>
      </w:r>
      <w:r w:rsidRPr="00662E40">
        <w:rPr>
          <w:rFonts w:ascii="Times New Roman" w:hAnsi="Times New Roman"/>
          <w:szCs w:val="24"/>
        </w:rPr>
        <w:t>(43–64).</w:t>
      </w:r>
    </w:p>
    <w:p w14:paraId="7B42AE7C"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Sallis, J. F., Slymen, D. J., Conway, T. L., Frank, L. D., Saelens, B. E., Cain, K., &amp; Chapman, J. E. (2011). Income disparities in perceived neighborhood built and social environment attributes. </w:t>
      </w:r>
      <w:r w:rsidRPr="00662E40">
        <w:rPr>
          <w:rFonts w:ascii="Times New Roman" w:hAnsi="Times New Roman"/>
          <w:i/>
          <w:iCs/>
          <w:szCs w:val="24"/>
        </w:rPr>
        <w:t>Health &amp; Place</w:t>
      </w:r>
      <w:r w:rsidRPr="00662E40">
        <w:rPr>
          <w:rFonts w:ascii="Times New Roman" w:hAnsi="Times New Roman"/>
          <w:szCs w:val="24"/>
        </w:rPr>
        <w:t xml:space="preserve">, </w:t>
      </w:r>
      <w:r w:rsidRPr="00662E40">
        <w:rPr>
          <w:rFonts w:ascii="Times New Roman" w:hAnsi="Times New Roman"/>
          <w:i/>
          <w:iCs/>
          <w:szCs w:val="24"/>
        </w:rPr>
        <w:t>17</w:t>
      </w:r>
      <w:r w:rsidRPr="00662E40">
        <w:rPr>
          <w:rFonts w:ascii="Times New Roman" w:hAnsi="Times New Roman"/>
          <w:szCs w:val="24"/>
        </w:rPr>
        <w:t>(6), Article 6. https://doi.org/10.1016/j.healthplace.2011.02.006</w:t>
      </w:r>
    </w:p>
    <w:p w14:paraId="482CC135"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Samerei, S. A., Aghabayk, K., Shiwakoti, N., &amp; Karimi, S. (2021). Modelling bus-pedestrian crash severity in the state of Victoria, Australia. </w:t>
      </w:r>
      <w:r w:rsidRPr="00662E40">
        <w:rPr>
          <w:rFonts w:ascii="Times New Roman" w:hAnsi="Times New Roman"/>
          <w:i/>
          <w:iCs/>
          <w:szCs w:val="24"/>
        </w:rPr>
        <w:t>International Journal of Injury Control and Safety Promotion</w:t>
      </w:r>
      <w:r w:rsidRPr="00662E40">
        <w:rPr>
          <w:rFonts w:ascii="Times New Roman" w:hAnsi="Times New Roman"/>
          <w:szCs w:val="24"/>
        </w:rPr>
        <w:t xml:space="preserve">, </w:t>
      </w:r>
      <w:r w:rsidRPr="00662E40">
        <w:rPr>
          <w:rFonts w:ascii="Times New Roman" w:hAnsi="Times New Roman"/>
          <w:i/>
          <w:iCs/>
          <w:szCs w:val="24"/>
        </w:rPr>
        <w:t>28</w:t>
      </w:r>
      <w:r w:rsidRPr="00662E40">
        <w:rPr>
          <w:rFonts w:ascii="Times New Roman" w:hAnsi="Times New Roman"/>
          <w:szCs w:val="24"/>
        </w:rPr>
        <w:t>(2), 233–242. https://doi.org/10.1080/17457300.2021.1907597</w:t>
      </w:r>
    </w:p>
    <w:p w14:paraId="77FCF953"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Sehatzadeh, B., Noland, R. B., &amp; Weiner, M. D. (2011). Walking frequency, cars, dogs, and the built environment. </w:t>
      </w:r>
      <w:r w:rsidRPr="00662E40">
        <w:rPr>
          <w:rFonts w:ascii="Times New Roman" w:hAnsi="Times New Roman"/>
          <w:i/>
          <w:iCs/>
          <w:szCs w:val="24"/>
        </w:rPr>
        <w:t>Transportation Research Part A: Policy and Practice</w:t>
      </w:r>
      <w:r w:rsidRPr="00662E40">
        <w:rPr>
          <w:rFonts w:ascii="Times New Roman" w:hAnsi="Times New Roman"/>
          <w:szCs w:val="24"/>
        </w:rPr>
        <w:t xml:space="preserve">, </w:t>
      </w:r>
      <w:r w:rsidRPr="00662E40">
        <w:rPr>
          <w:rFonts w:ascii="Times New Roman" w:hAnsi="Times New Roman"/>
          <w:i/>
          <w:iCs/>
          <w:szCs w:val="24"/>
        </w:rPr>
        <w:t>45</w:t>
      </w:r>
      <w:r w:rsidRPr="00662E40">
        <w:rPr>
          <w:rFonts w:ascii="Times New Roman" w:hAnsi="Times New Roman"/>
          <w:szCs w:val="24"/>
        </w:rPr>
        <w:t>(8), Article 8. https://doi.org/10.1016/j.tra.2011.06.001</w:t>
      </w:r>
    </w:p>
    <w:p w14:paraId="3EF5D4A5"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Sheldon, P., Antony, M. G., &amp; Ware, L. J. (2021). Baby Boomers’ use of Facebook and Instagram: Uses and gratifications theory and contextual age indicators. </w:t>
      </w:r>
      <w:r w:rsidRPr="00662E40">
        <w:rPr>
          <w:rFonts w:ascii="Times New Roman" w:hAnsi="Times New Roman"/>
          <w:i/>
          <w:iCs/>
          <w:szCs w:val="24"/>
        </w:rPr>
        <w:t>Heliyon</w:t>
      </w:r>
      <w:r w:rsidRPr="00662E40">
        <w:rPr>
          <w:rFonts w:ascii="Times New Roman" w:hAnsi="Times New Roman"/>
          <w:szCs w:val="24"/>
        </w:rPr>
        <w:t xml:space="preserve">, </w:t>
      </w:r>
      <w:r w:rsidRPr="00662E40">
        <w:rPr>
          <w:rFonts w:ascii="Times New Roman" w:hAnsi="Times New Roman"/>
          <w:i/>
          <w:iCs/>
          <w:szCs w:val="24"/>
        </w:rPr>
        <w:t>7</w:t>
      </w:r>
      <w:r w:rsidRPr="00662E40">
        <w:rPr>
          <w:rFonts w:ascii="Times New Roman" w:hAnsi="Times New Roman"/>
          <w:szCs w:val="24"/>
        </w:rPr>
        <w:t>(4), e06670. https://doi.org/10.1016/j.heliyon.2021.e06670</w:t>
      </w:r>
    </w:p>
    <w:p w14:paraId="77EBA291"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Sithichoksakulchai, S., Chen, M.-C., &amp; Chen, K.-M. (2022). Walking Promotes Physical Fitness of Community-Dwelling Older Adults: A Systematic Review and Meta-analysis. </w:t>
      </w:r>
      <w:r w:rsidRPr="00662E40">
        <w:rPr>
          <w:rFonts w:ascii="Times New Roman" w:hAnsi="Times New Roman"/>
          <w:i/>
          <w:iCs/>
          <w:szCs w:val="24"/>
        </w:rPr>
        <w:t>Topics in Geriatric Rehabilitation</w:t>
      </w:r>
      <w:r w:rsidRPr="00662E40">
        <w:rPr>
          <w:rFonts w:ascii="Times New Roman" w:hAnsi="Times New Roman"/>
          <w:szCs w:val="24"/>
        </w:rPr>
        <w:t xml:space="preserve">, </w:t>
      </w:r>
      <w:r w:rsidRPr="00662E40">
        <w:rPr>
          <w:rFonts w:ascii="Times New Roman" w:hAnsi="Times New Roman"/>
          <w:i/>
          <w:iCs/>
          <w:szCs w:val="24"/>
        </w:rPr>
        <w:t>38</w:t>
      </w:r>
      <w:r w:rsidRPr="00662E40">
        <w:rPr>
          <w:rFonts w:ascii="Times New Roman" w:hAnsi="Times New Roman"/>
          <w:szCs w:val="24"/>
        </w:rPr>
        <w:t>(2), 101–109. https://doi.org/10.1097/TGR.0000000000000351</w:t>
      </w:r>
    </w:p>
    <w:p w14:paraId="25C892B5"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Solon, G., Haider, S. J., &amp; Wooldridge, J. M. (2015). What are we weighting for? </w:t>
      </w:r>
      <w:r w:rsidRPr="00662E40">
        <w:rPr>
          <w:rFonts w:ascii="Times New Roman" w:hAnsi="Times New Roman"/>
          <w:i/>
          <w:iCs/>
          <w:szCs w:val="24"/>
        </w:rPr>
        <w:t>Journal of Human Resources</w:t>
      </w:r>
      <w:r w:rsidRPr="00662E40">
        <w:rPr>
          <w:rFonts w:ascii="Times New Roman" w:hAnsi="Times New Roman"/>
          <w:szCs w:val="24"/>
        </w:rPr>
        <w:t xml:space="preserve">, </w:t>
      </w:r>
      <w:r w:rsidRPr="00662E40">
        <w:rPr>
          <w:rFonts w:ascii="Times New Roman" w:hAnsi="Times New Roman"/>
          <w:i/>
          <w:iCs/>
          <w:szCs w:val="24"/>
        </w:rPr>
        <w:t>50</w:t>
      </w:r>
      <w:r w:rsidRPr="00662E40">
        <w:rPr>
          <w:rFonts w:ascii="Times New Roman" w:hAnsi="Times New Roman"/>
          <w:szCs w:val="24"/>
        </w:rPr>
        <w:t>(2), 301–316.</w:t>
      </w:r>
    </w:p>
    <w:p w14:paraId="1AB0F150"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Spiteri, K., Broom, D., Hassan Bekhet, A., Xerri De Caro, J., Laventure, B., &amp; Grafton, K. (2019). Barriers and Motivators of Physical Activity Participation in Middle-Aged and Older Adults—A Systematic Review. </w:t>
      </w:r>
      <w:r w:rsidRPr="00662E40">
        <w:rPr>
          <w:rFonts w:ascii="Times New Roman" w:hAnsi="Times New Roman"/>
          <w:i/>
          <w:iCs/>
          <w:szCs w:val="24"/>
        </w:rPr>
        <w:t>Journal of Aging and Physical Activity</w:t>
      </w:r>
      <w:r w:rsidRPr="00662E40">
        <w:rPr>
          <w:rFonts w:ascii="Times New Roman" w:hAnsi="Times New Roman"/>
          <w:szCs w:val="24"/>
        </w:rPr>
        <w:t xml:space="preserve">, </w:t>
      </w:r>
      <w:r w:rsidRPr="00662E40">
        <w:rPr>
          <w:rFonts w:ascii="Times New Roman" w:hAnsi="Times New Roman"/>
          <w:i/>
          <w:iCs/>
          <w:szCs w:val="24"/>
        </w:rPr>
        <w:t>27</w:t>
      </w:r>
      <w:r w:rsidRPr="00662E40">
        <w:rPr>
          <w:rFonts w:ascii="Times New Roman" w:hAnsi="Times New Roman"/>
          <w:szCs w:val="24"/>
        </w:rPr>
        <w:t>(6), 929–944. https://doi.org/10.1123/japa.2018-0343</w:t>
      </w:r>
    </w:p>
    <w:p w14:paraId="11264F73"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Stalsberg, R., &amp; Pedersen, A. (2018). Are Differences in Physical Activity across Socioeconomic Groups Associated with Choice of Physical Activity Variables to Report? </w:t>
      </w:r>
      <w:r w:rsidRPr="00662E40">
        <w:rPr>
          <w:rFonts w:ascii="Times New Roman" w:hAnsi="Times New Roman"/>
          <w:i/>
          <w:iCs/>
          <w:szCs w:val="24"/>
        </w:rPr>
        <w:t>International Journal of Environmental Research and Public Health</w:t>
      </w:r>
      <w:r w:rsidRPr="00662E40">
        <w:rPr>
          <w:rFonts w:ascii="Times New Roman" w:hAnsi="Times New Roman"/>
          <w:szCs w:val="24"/>
        </w:rPr>
        <w:t xml:space="preserve">, </w:t>
      </w:r>
      <w:r w:rsidRPr="00662E40">
        <w:rPr>
          <w:rFonts w:ascii="Times New Roman" w:hAnsi="Times New Roman"/>
          <w:i/>
          <w:iCs/>
          <w:szCs w:val="24"/>
        </w:rPr>
        <w:t>15</w:t>
      </w:r>
      <w:r w:rsidRPr="00662E40">
        <w:rPr>
          <w:rFonts w:ascii="Times New Roman" w:hAnsi="Times New Roman"/>
          <w:szCs w:val="24"/>
        </w:rPr>
        <w:t>(5), 922. https://doi.org/10.3390/ijerph15050922</w:t>
      </w:r>
    </w:p>
    <w:p w14:paraId="05C2A9E6"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Thornton, C. M., Kerr, J., Conway, T. L., Saelens, B. E., Sallis, J. F., Ahn, D. K., Frank, L. D., Cain, K. L., &amp; King, A. C. (2017). Physical Activity in Older Adults: An Ecological Approach. </w:t>
      </w:r>
      <w:r w:rsidRPr="00662E40">
        <w:rPr>
          <w:rFonts w:ascii="Times New Roman" w:hAnsi="Times New Roman"/>
          <w:i/>
          <w:iCs/>
          <w:szCs w:val="24"/>
        </w:rPr>
        <w:t>Annals of Behavioral Medicine</w:t>
      </w:r>
      <w:r w:rsidRPr="00662E40">
        <w:rPr>
          <w:rFonts w:ascii="Times New Roman" w:hAnsi="Times New Roman"/>
          <w:szCs w:val="24"/>
        </w:rPr>
        <w:t xml:space="preserve">, </w:t>
      </w:r>
      <w:r w:rsidRPr="00662E40">
        <w:rPr>
          <w:rFonts w:ascii="Times New Roman" w:hAnsi="Times New Roman"/>
          <w:i/>
          <w:iCs/>
          <w:szCs w:val="24"/>
        </w:rPr>
        <w:t>51</w:t>
      </w:r>
      <w:r w:rsidRPr="00662E40">
        <w:rPr>
          <w:rFonts w:ascii="Times New Roman" w:hAnsi="Times New Roman"/>
          <w:szCs w:val="24"/>
        </w:rPr>
        <w:t>(2), 159–169. https://doi.org/10.1007/s12160-016-9837-1</w:t>
      </w:r>
    </w:p>
    <w:p w14:paraId="17FC9C19"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Umpierre, D., Ribeiro, P. A. B., Schaan, B. D., &amp; Ribeiro, J. P. (2013). Volume of supervised exercise training impacts glycaemic control in patients with type 2 diabetes: A systematic review with meta-regression analysis. </w:t>
      </w:r>
      <w:r w:rsidRPr="00662E40">
        <w:rPr>
          <w:rFonts w:ascii="Times New Roman" w:hAnsi="Times New Roman"/>
          <w:i/>
          <w:iCs/>
          <w:szCs w:val="24"/>
        </w:rPr>
        <w:t>Diabetologia</w:t>
      </w:r>
      <w:r w:rsidRPr="00662E40">
        <w:rPr>
          <w:rFonts w:ascii="Times New Roman" w:hAnsi="Times New Roman"/>
          <w:szCs w:val="24"/>
        </w:rPr>
        <w:t xml:space="preserve">, </w:t>
      </w:r>
      <w:r w:rsidRPr="00662E40">
        <w:rPr>
          <w:rFonts w:ascii="Times New Roman" w:hAnsi="Times New Roman"/>
          <w:i/>
          <w:iCs/>
          <w:szCs w:val="24"/>
        </w:rPr>
        <w:t>56</w:t>
      </w:r>
      <w:r w:rsidRPr="00662E40">
        <w:rPr>
          <w:rFonts w:ascii="Times New Roman" w:hAnsi="Times New Roman"/>
          <w:szCs w:val="24"/>
        </w:rPr>
        <w:t>(2), 242–251. https://doi.org/10.1007/s00125-012-2774-z</w:t>
      </w:r>
    </w:p>
    <w:p w14:paraId="50FD1FC2"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lastRenderedPageBreak/>
        <w:t xml:space="preserve">U.S. Department of Health and Human Services. (2018). </w:t>
      </w:r>
      <w:r w:rsidRPr="00662E40">
        <w:rPr>
          <w:rFonts w:ascii="Times New Roman" w:hAnsi="Times New Roman"/>
          <w:i/>
          <w:iCs/>
          <w:szCs w:val="24"/>
        </w:rPr>
        <w:t>Physical Activity Guidelines for Americans, 2nd edition</w:t>
      </w:r>
      <w:r w:rsidRPr="00662E40">
        <w:rPr>
          <w:rFonts w:ascii="Times New Roman" w:hAnsi="Times New Roman"/>
          <w:szCs w:val="24"/>
        </w:rPr>
        <w:t>.</w:t>
      </w:r>
    </w:p>
    <w:p w14:paraId="19B8238E"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Valenti, G., Bonomi, A. G., &amp; Westerterp, K. R. (2016). Walking as a Contributor to Physical Activity in Healthy Older Adults: 2 Week Longitudinal Study Using Accelerometry and the Doubly Labeled Water Method. </w:t>
      </w:r>
      <w:r w:rsidRPr="00662E40">
        <w:rPr>
          <w:rFonts w:ascii="Times New Roman" w:hAnsi="Times New Roman"/>
          <w:i/>
          <w:iCs/>
          <w:szCs w:val="24"/>
        </w:rPr>
        <w:t>JMIR mHealth and uHealth</w:t>
      </w:r>
      <w:r w:rsidRPr="00662E40">
        <w:rPr>
          <w:rFonts w:ascii="Times New Roman" w:hAnsi="Times New Roman"/>
          <w:szCs w:val="24"/>
        </w:rPr>
        <w:t xml:space="preserve">, </w:t>
      </w:r>
      <w:r w:rsidRPr="00662E40">
        <w:rPr>
          <w:rFonts w:ascii="Times New Roman" w:hAnsi="Times New Roman"/>
          <w:i/>
          <w:iCs/>
          <w:szCs w:val="24"/>
        </w:rPr>
        <w:t>4</w:t>
      </w:r>
      <w:r w:rsidRPr="00662E40">
        <w:rPr>
          <w:rFonts w:ascii="Times New Roman" w:hAnsi="Times New Roman"/>
          <w:szCs w:val="24"/>
        </w:rPr>
        <w:t>(2), e56. https://doi.org/10.2196/mhealth.5445</w:t>
      </w:r>
    </w:p>
    <w:p w14:paraId="4838BC67"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Van Acker, V., Mokhtarian, P. L., &amp; Witlox, F. (2014). Car availability explained by the structural relationships between lifestyles, residential location, and underlying residential and travel attitudes. </w:t>
      </w:r>
      <w:r w:rsidRPr="00662E40">
        <w:rPr>
          <w:rFonts w:ascii="Times New Roman" w:hAnsi="Times New Roman"/>
          <w:i/>
          <w:iCs/>
          <w:szCs w:val="24"/>
        </w:rPr>
        <w:t>Transport Policy</w:t>
      </w:r>
      <w:r w:rsidRPr="00662E40">
        <w:rPr>
          <w:rFonts w:ascii="Times New Roman" w:hAnsi="Times New Roman"/>
          <w:szCs w:val="24"/>
        </w:rPr>
        <w:t xml:space="preserve">, </w:t>
      </w:r>
      <w:r w:rsidRPr="00662E40">
        <w:rPr>
          <w:rFonts w:ascii="Times New Roman" w:hAnsi="Times New Roman"/>
          <w:i/>
          <w:iCs/>
          <w:szCs w:val="24"/>
        </w:rPr>
        <w:t>35</w:t>
      </w:r>
      <w:r w:rsidRPr="00662E40">
        <w:rPr>
          <w:rFonts w:ascii="Times New Roman" w:hAnsi="Times New Roman"/>
          <w:szCs w:val="24"/>
        </w:rPr>
        <w:t>, 88–99. https://doi.org/10.1016/j.tranpol.2014.05.006</w:t>
      </w:r>
    </w:p>
    <w:p w14:paraId="43A08FA3"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Van Der Meer, M. J. (2008). The sociospatial diversity in the leisure activities of older people in the Netherlands. </w:t>
      </w:r>
      <w:r w:rsidRPr="00662E40">
        <w:rPr>
          <w:rFonts w:ascii="Times New Roman" w:hAnsi="Times New Roman"/>
          <w:i/>
          <w:iCs/>
          <w:szCs w:val="24"/>
        </w:rPr>
        <w:t>Journal of Aging Studies</w:t>
      </w:r>
      <w:r w:rsidRPr="00662E40">
        <w:rPr>
          <w:rFonts w:ascii="Times New Roman" w:hAnsi="Times New Roman"/>
          <w:szCs w:val="24"/>
        </w:rPr>
        <w:t xml:space="preserve">, </w:t>
      </w:r>
      <w:r w:rsidRPr="00662E40">
        <w:rPr>
          <w:rFonts w:ascii="Times New Roman" w:hAnsi="Times New Roman"/>
          <w:i/>
          <w:iCs/>
          <w:szCs w:val="24"/>
        </w:rPr>
        <w:t>22</w:t>
      </w:r>
      <w:r w:rsidRPr="00662E40">
        <w:rPr>
          <w:rFonts w:ascii="Times New Roman" w:hAnsi="Times New Roman"/>
          <w:szCs w:val="24"/>
        </w:rPr>
        <w:t>(1), 1–12. https://doi.org/10.1016/j.jaging.2007.02.001</w:t>
      </w:r>
    </w:p>
    <w:p w14:paraId="01B3405A"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Van Uffelen, J. G. Z., Khan, A., &amp; Burton, N. W. (2017). Gender differences in physical activity motivators and context preferences: A population-based study in people in their sixties. </w:t>
      </w:r>
      <w:r w:rsidRPr="00662E40">
        <w:rPr>
          <w:rFonts w:ascii="Times New Roman" w:hAnsi="Times New Roman"/>
          <w:i/>
          <w:iCs/>
          <w:szCs w:val="24"/>
        </w:rPr>
        <w:t>BMC Public Health</w:t>
      </w:r>
      <w:r w:rsidRPr="00662E40">
        <w:rPr>
          <w:rFonts w:ascii="Times New Roman" w:hAnsi="Times New Roman"/>
          <w:szCs w:val="24"/>
        </w:rPr>
        <w:t xml:space="preserve">, </w:t>
      </w:r>
      <w:r w:rsidRPr="00662E40">
        <w:rPr>
          <w:rFonts w:ascii="Times New Roman" w:hAnsi="Times New Roman"/>
          <w:i/>
          <w:iCs/>
          <w:szCs w:val="24"/>
        </w:rPr>
        <w:t>17</w:t>
      </w:r>
      <w:r w:rsidRPr="00662E40">
        <w:rPr>
          <w:rFonts w:ascii="Times New Roman" w:hAnsi="Times New Roman"/>
          <w:szCs w:val="24"/>
        </w:rPr>
        <w:t>(1), Article 1. https://doi.org/10.1186/s12889-017-4540-0</w:t>
      </w:r>
    </w:p>
    <w:p w14:paraId="54B871E5"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Van Wee, B. (2009). Self‐Selection: A Key to a Better Understanding of Location Choices, Travel Behaviour and Transport Externalities? </w:t>
      </w:r>
      <w:r w:rsidRPr="00662E40">
        <w:rPr>
          <w:rFonts w:ascii="Times New Roman" w:hAnsi="Times New Roman"/>
          <w:i/>
          <w:iCs/>
          <w:szCs w:val="24"/>
        </w:rPr>
        <w:t>Transport Reviews</w:t>
      </w:r>
      <w:r w:rsidRPr="00662E40">
        <w:rPr>
          <w:rFonts w:ascii="Times New Roman" w:hAnsi="Times New Roman"/>
          <w:szCs w:val="24"/>
        </w:rPr>
        <w:t xml:space="preserve">, </w:t>
      </w:r>
      <w:r w:rsidRPr="00662E40">
        <w:rPr>
          <w:rFonts w:ascii="Times New Roman" w:hAnsi="Times New Roman"/>
          <w:i/>
          <w:iCs/>
          <w:szCs w:val="24"/>
        </w:rPr>
        <w:t>29</w:t>
      </w:r>
      <w:r w:rsidRPr="00662E40">
        <w:rPr>
          <w:rFonts w:ascii="Times New Roman" w:hAnsi="Times New Roman"/>
          <w:szCs w:val="24"/>
        </w:rPr>
        <w:t>(3), 279–292. https://doi.org/10.1080/01441640902752961</w:t>
      </w:r>
    </w:p>
    <w:p w14:paraId="42F636AF"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Vardhan, M., Hegde, N., Merugu, S., Prabhat, S., Nathani, D., Seneviratne, M., Muhammad, N., Reddy, P., Lakshminarasimhan, S., Singh, R., Lorenzana, K., Motwani, E., Talukdar, P., &amp; Raghuveer, A. (2022). Walking with PACE - Personalized and Automated Coaching Engine. </w:t>
      </w:r>
      <w:r w:rsidRPr="00662E40">
        <w:rPr>
          <w:rFonts w:ascii="Times New Roman" w:hAnsi="Times New Roman"/>
          <w:i/>
          <w:iCs/>
          <w:szCs w:val="24"/>
        </w:rPr>
        <w:t>Proceedings of the 30th ACM Conference on User Modeling, Adaptation and Personalization</w:t>
      </w:r>
      <w:r w:rsidRPr="00662E40">
        <w:rPr>
          <w:rFonts w:ascii="Times New Roman" w:hAnsi="Times New Roman"/>
          <w:szCs w:val="24"/>
        </w:rPr>
        <w:t>, 57–68. https://doi.org/10.1145/3503252.3531301</w:t>
      </w:r>
    </w:p>
    <w:p w14:paraId="7A9CB5E8"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Vasankari, V., Husu, P., Vähä-Ypyä, H., Suni, J., Tokola, K., Halonen, J., Hartikainen, J., Sievänen, H., &amp; Vasankari, T. (2017). Association of objectively measured sedentary behaviour and physical activity with cardiovascular disease risk. </w:t>
      </w:r>
      <w:r w:rsidRPr="00662E40">
        <w:rPr>
          <w:rFonts w:ascii="Times New Roman" w:hAnsi="Times New Roman"/>
          <w:i/>
          <w:iCs/>
          <w:szCs w:val="24"/>
        </w:rPr>
        <w:t>European Journal of Preventive Cardiology</w:t>
      </w:r>
      <w:r w:rsidRPr="00662E40">
        <w:rPr>
          <w:rFonts w:ascii="Times New Roman" w:hAnsi="Times New Roman"/>
          <w:szCs w:val="24"/>
        </w:rPr>
        <w:t xml:space="preserve">, </w:t>
      </w:r>
      <w:r w:rsidRPr="00662E40">
        <w:rPr>
          <w:rFonts w:ascii="Times New Roman" w:hAnsi="Times New Roman"/>
          <w:i/>
          <w:iCs/>
          <w:szCs w:val="24"/>
        </w:rPr>
        <w:t>24</w:t>
      </w:r>
      <w:r w:rsidRPr="00662E40">
        <w:rPr>
          <w:rFonts w:ascii="Times New Roman" w:hAnsi="Times New Roman"/>
          <w:szCs w:val="24"/>
        </w:rPr>
        <w:t>(12), 1311–1318. https://doi.org/10.1177/2047487317711048</w:t>
      </w:r>
    </w:p>
    <w:p w14:paraId="68FB796B"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Veitch, J., Flowers, E., Ball, K., Deforche, B., &amp; Timperio, A. (2020). Designing parks for older adults: A qualitative study using walk-along interviews. </w:t>
      </w:r>
      <w:r w:rsidRPr="00662E40">
        <w:rPr>
          <w:rFonts w:ascii="Times New Roman" w:hAnsi="Times New Roman"/>
          <w:i/>
          <w:iCs/>
          <w:szCs w:val="24"/>
        </w:rPr>
        <w:t>Urban Forestry &amp; Urban Greening</w:t>
      </w:r>
      <w:r w:rsidRPr="00662E40">
        <w:rPr>
          <w:rFonts w:ascii="Times New Roman" w:hAnsi="Times New Roman"/>
          <w:szCs w:val="24"/>
        </w:rPr>
        <w:t xml:space="preserve">, </w:t>
      </w:r>
      <w:r w:rsidRPr="00662E40">
        <w:rPr>
          <w:rFonts w:ascii="Times New Roman" w:hAnsi="Times New Roman"/>
          <w:i/>
          <w:iCs/>
          <w:szCs w:val="24"/>
        </w:rPr>
        <w:t>54</w:t>
      </w:r>
      <w:r w:rsidRPr="00662E40">
        <w:rPr>
          <w:rFonts w:ascii="Times New Roman" w:hAnsi="Times New Roman"/>
          <w:szCs w:val="24"/>
        </w:rPr>
        <w:t>, 126768. https://doi.org/10.1016/j.ufug.2020.126768</w:t>
      </w:r>
    </w:p>
    <w:p w14:paraId="126DECB1"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Wei, L., Hu, Y., Tao, Y., Hu, R., &amp; Zhang, L. (2022). The Effects of Physical Exercise on the Quality of Life of Healthy Older Adults in China: A Systematic Review. </w:t>
      </w:r>
      <w:r w:rsidRPr="00662E40">
        <w:rPr>
          <w:rFonts w:ascii="Times New Roman" w:hAnsi="Times New Roman"/>
          <w:i/>
          <w:iCs/>
          <w:szCs w:val="24"/>
        </w:rPr>
        <w:t>Frontiers in Psychology</w:t>
      </w:r>
      <w:r w:rsidRPr="00662E40">
        <w:rPr>
          <w:rFonts w:ascii="Times New Roman" w:hAnsi="Times New Roman"/>
          <w:szCs w:val="24"/>
        </w:rPr>
        <w:t xml:space="preserve">, </w:t>
      </w:r>
      <w:r w:rsidRPr="00662E40">
        <w:rPr>
          <w:rFonts w:ascii="Times New Roman" w:hAnsi="Times New Roman"/>
          <w:i/>
          <w:iCs/>
          <w:szCs w:val="24"/>
        </w:rPr>
        <w:t>13</w:t>
      </w:r>
      <w:r w:rsidRPr="00662E40">
        <w:rPr>
          <w:rFonts w:ascii="Times New Roman" w:hAnsi="Times New Roman"/>
          <w:szCs w:val="24"/>
        </w:rPr>
        <w:t>, 895373. https://doi.org/10.3389/fpsyg.2022.895373</w:t>
      </w:r>
    </w:p>
    <w:p w14:paraId="1E1E0E95"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Wen, M., Kandula, N. R., &amp; Lauderdale, D. S. (2007). Walking for Transportation or Leisure: What Difference Does the Neighborhood Make? </w:t>
      </w:r>
      <w:r w:rsidRPr="00662E40">
        <w:rPr>
          <w:rFonts w:ascii="Times New Roman" w:hAnsi="Times New Roman"/>
          <w:i/>
          <w:iCs/>
          <w:szCs w:val="24"/>
        </w:rPr>
        <w:t>Journal of General Internal Medicine</w:t>
      </w:r>
      <w:r w:rsidRPr="00662E40">
        <w:rPr>
          <w:rFonts w:ascii="Times New Roman" w:hAnsi="Times New Roman"/>
          <w:szCs w:val="24"/>
        </w:rPr>
        <w:t xml:space="preserve">, </w:t>
      </w:r>
      <w:r w:rsidRPr="00662E40">
        <w:rPr>
          <w:rFonts w:ascii="Times New Roman" w:hAnsi="Times New Roman"/>
          <w:i/>
          <w:iCs/>
          <w:szCs w:val="24"/>
        </w:rPr>
        <w:t>22</w:t>
      </w:r>
      <w:r w:rsidRPr="00662E40">
        <w:rPr>
          <w:rFonts w:ascii="Times New Roman" w:hAnsi="Times New Roman"/>
          <w:szCs w:val="24"/>
        </w:rPr>
        <w:t>(12), 1674–1680. https://doi.org/10.1007/s11606-007-0400-4</w:t>
      </w:r>
    </w:p>
    <w:p w14:paraId="02221A29"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Wilkes, R., &amp; Wu, C. (2019). Immigration, Discrimination, and Trust: A Simply Complex Relationship. </w:t>
      </w:r>
      <w:r w:rsidRPr="00662E40">
        <w:rPr>
          <w:rFonts w:ascii="Times New Roman" w:hAnsi="Times New Roman"/>
          <w:i/>
          <w:iCs/>
          <w:szCs w:val="24"/>
        </w:rPr>
        <w:t>Frontiers in Sociology</w:t>
      </w:r>
      <w:r w:rsidRPr="00662E40">
        <w:rPr>
          <w:rFonts w:ascii="Times New Roman" w:hAnsi="Times New Roman"/>
          <w:szCs w:val="24"/>
        </w:rPr>
        <w:t xml:space="preserve">, </w:t>
      </w:r>
      <w:r w:rsidRPr="00662E40">
        <w:rPr>
          <w:rFonts w:ascii="Times New Roman" w:hAnsi="Times New Roman"/>
          <w:i/>
          <w:iCs/>
          <w:szCs w:val="24"/>
        </w:rPr>
        <w:t>4</w:t>
      </w:r>
      <w:r w:rsidRPr="00662E40">
        <w:rPr>
          <w:rFonts w:ascii="Times New Roman" w:hAnsi="Times New Roman"/>
          <w:szCs w:val="24"/>
        </w:rPr>
        <w:t>, 32. https://doi.org/10.3389/fsoc.2019.00032</w:t>
      </w:r>
    </w:p>
    <w:p w14:paraId="71525AED"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Wooldridge, J. M. (1995). Selection corrections for panel data models under conditional mean independence assumptions. </w:t>
      </w:r>
      <w:r w:rsidRPr="00662E40">
        <w:rPr>
          <w:rFonts w:ascii="Times New Roman" w:hAnsi="Times New Roman"/>
          <w:i/>
          <w:iCs/>
          <w:szCs w:val="24"/>
        </w:rPr>
        <w:t>Journal of Econometrics</w:t>
      </w:r>
      <w:r w:rsidRPr="00662E40">
        <w:rPr>
          <w:rFonts w:ascii="Times New Roman" w:hAnsi="Times New Roman"/>
          <w:szCs w:val="24"/>
        </w:rPr>
        <w:t xml:space="preserve">, </w:t>
      </w:r>
      <w:r w:rsidRPr="00662E40">
        <w:rPr>
          <w:rFonts w:ascii="Times New Roman" w:hAnsi="Times New Roman"/>
          <w:i/>
          <w:iCs/>
          <w:szCs w:val="24"/>
        </w:rPr>
        <w:t>68</w:t>
      </w:r>
      <w:r w:rsidRPr="00662E40">
        <w:rPr>
          <w:rFonts w:ascii="Times New Roman" w:hAnsi="Times New Roman"/>
          <w:szCs w:val="24"/>
        </w:rPr>
        <w:t>(1), 115–132.</w:t>
      </w:r>
    </w:p>
    <w:p w14:paraId="7F77339A"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World Health Organization. (2010). </w:t>
      </w:r>
      <w:r w:rsidRPr="00662E40">
        <w:rPr>
          <w:rFonts w:ascii="Times New Roman" w:hAnsi="Times New Roman"/>
          <w:i/>
          <w:iCs/>
          <w:szCs w:val="24"/>
        </w:rPr>
        <w:t>Global recommendations on physical activity for health</w:t>
      </w:r>
      <w:r w:rsidRPr="00662E40">
        <w:rPr>
          <w:rFonts w:ascii="Times New Roman" w:hAnsi="Times New Roman"/>
          <w:szCs w:val="24"/>
        </w:rPr>
        <w:t>. WHO press.</w:t>
      </w:r>
    </w:p>
    <w:p w14:paraId="1B03954E" w14:textId="77777777" w:rsidR="00A9351C" w:rsidRPr="00662E40" w:rsidRDefault="00A9351C" w:rsidP="003964C4">
      <w:pPr>
        <w:pStyle w:val="Bibliography"/>
        <w:keepLines/>
        <w:spacing w:line="240" w:lineRule="auto"/>
        <w:ind w:left="540" w:hanging="540"/>
        <w:rPr>
          <w:rFonts w:ascii="Times New Roman" w:hAnsi="Times New Roman"/>
          <w:szCs w:val="24"/>
        </w:rPr>
      </w:pPr>
      <w:r w:rsidRPr="00662E40">
        <w:rPr>
          <w:rFonts w:ascii="Times New Roman" w:hAnsi="Times New Roman"/>
          <w:szCs w:val="24"/>
        </w:rPr>
        <w:lastRenderedPageBreak/>
        <w:t xml:space="preserve">Wu, J., Zhao, C., Li, C., Wang, T., Wang, L., &amp; Zhang, Y. (2021). Non-linear Relationships Between the Built Environment and Walking Frequency Among Older Adults in Zhongshan, China. </w:t>
      </w:r>
      <w:r w:rsidRPr="00662E40">
        <w:rPr>
          <w:rFonts w:ascii="Times New Roman" w:hAnsi="Times New Roman"/>
          <w:i/>
          <w:iCs/>
          <w:szCs w:val="24"/>
        </w:rPr>
        <w:t>Frontiers in Public Health</w:t>
      </w:r>
      <w:r w:rsidRPr="00662E40">
        <w:rPr>
          <w:rFonts w:ascii="Times New Roman" w:hAnsi="Times New Roman"/>
          <w:szCs w:val="24"/>
        </w:rPr>
        <w:t xml:space="preserve">, </w:t>
      </w:r>
      <w:r w:rsidRPr="00662E40">
        <w:rPr>
          <w:rFonts w:ascii="Times New Roman" w:hAnsi="Times New Roman"/>
          <w:i/>
          <w:iCs/>
          <w:szCs w:val="24"/>
        </w:rPr>
        <w:t>9</w:t>
      </w:r>
      <w:r w:rsidRPr="00662E40">
        <w:rPr>
          <w:rFonts w:ascii="Times New Roman" w:hAnsi="Times New Roman"/>
          <w:szCs w:val="24"/>
        </w:rPr>
        <w:t>, 686144. https://doi.org/10.3389/fpubh.2021.686144</w:t>
      </w:r>
    </w:p>
    <w:p w14:paraId="73839CA3"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Yang, L., Tang, X., Yang, H., Meng, F., &amp; Liu, J. (2022). Using a system of equations to assess the determinants of the walking behavior of older adults. </w:t>
      </w:r>
      <w:r w:rsidRPr="00662E40">
        <w:rPr>
          <w:rFonts w:ascii="Times New Roman" w:hAnsi="Times New Roman"/>
          <w:i/>
          <w:iCs/>
          <w:szCs w:val="24"/>
        </w:rPr>
        <w:t>Transactions in GIS</w:t>
      </w:r>
      <w:r w:rsidRPr="00662E40">
        <w:rPr>
          <w:rFonts w:ascii="Times New Roman" w:hAnsi="Times New Roman"/>
          <w:szCs w:val="24"/>
        </w:rPr>
        <w:t xml:space="preserve">, </w:t>
      </w:r>
      <w:r w:rsidRPr="00662E40">
        <w:rPr>
          <w:rFonts w:ascii="Times New Roman" w:hAnsi="Times New Roman"/>
          <w:i/>
          <w:iCs/>
          <w:szCs w:val="24"/>
        </w:rPr>
        <w:t>26</w:t>
      </w:r>
      <w:r w:rsidRPr="00662E40">
        <w:rPr>
          <w:rFonts w:ascii="Times New Roman" w:hAnsi="Times New Roman"/>
          <w:szCs w:val="24"/>
        </w:rPr>
        <w:t>(3), 1339–1354. https://doi.org/10.1111/tgis.12916</w:t>
      </w:r>
    </w:p>
    <w:p w14:paraId="1B1D081C"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Yates, T., Edwardson, C. L., Celis-Morales, C., Biddle, S. J. H., Bodicoat, D., Davies, M. J., Esliger, D., Henson, J., Kazi, A., Khunti, K., Sattar, N., Sinclair, A. J., Rowlands, A., Velayudhan, L., Zaccardi, F., &amp; Gill, J. M. R. (2020). Metabolic Effects of Breaking Prolonged Sitting With Standing or Light Walking in Older South Asians and White Europeans: A Randomized Acute Study. </w:t>
      </w:r>
      <w:r w:rsidRPr="00662E40">
        <w:rPr>
          <w:rFonts w:ascii="Times New Roman" w:hAnsi="Times New Roman"/>
          <w:i/>
          <w:iCs/>
          <w:szCs w:val="24"/>
        </w:rPr>
        <w:t>The Journals of Gerontology: Series A</w:t>
      </w:r>
      <w:r w:rsidRPr="00662E40">
        <w:rPr>
          <w:rFonts w:ascii="Times New Roman" w:hAnsi="Times New Roman"/>
          <w:szCs w:val="24"/>
        </w:rPr>
        <w:t xml:space="preserve">, </w:t>
      </w:r>
      <w:r w:rsidRPr="00662E40">
        <w:rPr>
          <w:rFonts w:ascii="Times New Roman" w:hAnsi="Times New Roman"/>
          <w:i/>
          <w:iCs/>
          <w:szCs w:val="24"/>
        </w:rPr>
        <w:t>75</w:t>
      </w:r>
      <w:r w:rsidRPr="00662E40">
        <w:rPr>
          <w:rFonts w:ascii="Times New Roman" w:hAnsi="Times New Roman"/>
          <w:szCs w:val="24"/>
        </w:rPr>
        <w:t>(1), 139–146. https://doi.org/10.1093/gerona/gly252</w:t>
      </w:r>
    </w:p>
    <w:p w14:paraId="43CCED6B"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Yi, S. S., Trinh-Shevrin, C., Yen, I. H., &amp; Kwon, S. C. (2016). Racial/Ethnic Differences in Associations Between Neighborhood Social Cohesion and Meeting Physical Activity Guidelines, United States, 2013–2014. </w:t>
      </w:r>
      <w:r w:rsidRPr="00662E40">
        <w:rPr>
          <w:rFonts w:ascii="Times New Roman" w:hAnsi="Times New Roman"/>
          <w:i/>
          <w:iCs/>
          <w:szCs w:val="24"/>
        </w:rPr>
        <w:t>Preventing Chronic Disease</w:t>
      </w:r>
      <w:r w:rsidRPr="00662E40">
        <w:rPr>
          <w:rFonts w:ascii="Times New Roman" w:hAnsi="Times New Roman"/>
          <w:szCs w:val="24"/>
        </w:rPr>
        <w:t xml:space="preserve">, </w:t>
      </w:r>
      <w:r w:rsidRPr="00662E40">
        <w:rPr>
          <w:rFonts w:ascii="Times New Roman" w:hAnsi="Times New Roman"/>
          <w:i/>
          <w:iCs/>
          <w:szCs w:val="24"/>
        </w:rPr>
        <w:t>13</w:t>
      </w:r>
      <w:r w:rsidRPr="00662E40">
        <w:rPr>
          <w:rFonts w:ascii="Times New Roman" w:hAnsi="Times New Roman"/>
          <w:szCs w:val="24"/>
        </w:rPr>
        <w:t>, 160261. https://doi.org/10.5888/pcd13.160261</w:t>
      </w:r>
    </w:p>
    <w:p w14:paraId="27BCF425"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Younes, H., Noland, R. B., Von Hagen, L. A., &amp; Sinclair, J. (2023). Working from Home and Walking during and after COVID. </w:t>
      </w:r>
      <w:r w:rsidRPr="00662E40">
        <w:rPr>
          <w:rFonts w:ascii="Times New Roman" w:hAnsi="Times New Roman"/>
          <w:i/>
          <w:iCs/>
          <w:szCs w:val="24"/>
        </w:rPr>
        <w:t>Findings</w:t>
      </w:r>
      <w:r w:rsidRPr="00662E40">
        <w:rPr>
          <w:rFonts w:ascii="Times New Roman" w:hAnsi="Times New Roman"/>
          <w:szCs w:val="24"/>
        </w:rPr>
        <w:t>. https://doi.org/10.32866/001c.78110</w:t>
      </w:r>
    </w:p>
    <w:p w14:paraId="16EEF3DB"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Yun, H. Y. (2019). Environmental Factors Associated with Older Adult’s Walking Behaviors: A Systematic Review of Quantitative Studies. </w:t>
      </w:r>
      <w:r w:rsidRPr="00662E40">
        <w:rPr>
          <w:rFonts w:ascii="Times New Roman" w:hAnsi="Times New Roman"/>
          <w:i/>
          <w:iCs/>
          <w:szCs w:val="24"/>
        </w:rPr>
        <w:t>Sustainability</w:t>
      </w:r>
      <w:r w:rsidRPr="00662E40">
        <w:rPr>
          <w:rFonts w:ascii="Times New Roman" w:hAnsi="Times New Roman"/>
          <w:szCs w:val="24"/>
        </w:rPr>
        <w:t xml:space="preserve">, </w:t>
      </w:r>
      <w:r w:rsidRPr="00662E40">
        <w:rPr>
          <w:rFonts w:ascii="Times New Roman" w:hAnsi="Times New Roman"/>
          <w:i/>
          <w:iCs/>
          <w:szCs w:val="24"/>
        </w:rPr>
        <w:t>11</w:t>
      </w:r>
      <w:r w:rsidRPr="00662E40">
        <w:rPr>
          <w:rFonts w:ascii="Times New Roman" w:hAnsi="Times New Roman"/>
          <w:szCs w:val="24"/>
        </w:rPr>
        <w:t>(12), 3253. https://doi.org/10.3390/su11123253</w:t>
      </w:r>
    </w:p>
    <w:p w14:paraId="680DC5D0"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Zandieh, R., Martinez, J., Flacke, J., Jones, P., &amp; Van Maarseveen, M. (2016). Older Adults’ Outdoor Walking: Inequalities in Neighbourhood Safety, Pedestrian Infrastructure and Aesthetics. </w:t>
      </w:r>
      <w:r w:rsidRPr="00662E40">
        <w:rPr>
          <w:rFonts w:ascii="Times New Roman" w:hAnsi="Times New Roman"/>
          <w:i/>
          <w:iCs/>
          <w:szCs w:val="24"/>
        </w:rPr>
        <w:t>International Journal of Environmental Research and Public Health</w:t>
      </w:r>
      <w:r w:rsidRPr="00662E40">
        <w:rPr>
          <w:rFonts w:ascii="Times New Roman" w:hAnsi="Times New Roman"/>
          <w:szCs w:val="24"/>
        </w:rPr>
        <w:t xml:space="preserve">, </w:t>
      </w:r>
      <w:r w:rsidRPr="00662E40">
        <w:rPr>
          <w:rFonts w:ascii="Times New Roman" w:hAnsi="Times New Roman"/>
          <w:i/>
          <w:iCs/>
          <w:szCs w:val="24"/>
        </w:rPr>
        <w:t>13</w:t>
      </w:r>
      <w:r w:rsidRPr="00662E40">
        <w:rPr>
          <w:rFonts w:ascii="Times New Roman" w:hAnsi="Times New Roman"/>
          <w:szCs w:val="24"/>
        </w:rPr>
        <w:t>(12), 1179. https://doi.org/10.3390/ijerph13121179</w:t>
      </w:r>
    </w:p>
    <w:p w14:paraId="736AB1AC"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Zang, P., Xian, F., Qiu, H., Ma, S., Guo, H., Wang, M., &amp; Yang, L. (2022). Differences in the Correlation between the Built Environment and Walking, Moderate, and Vigorous Physical Activity among the Elderly in Low- and High-Income Areas. </w:t>
      </w:r>
      <w:r w:rsidRPr="00662E40">
        <w:rPr>
          <w:rFonts w:ascii="Times New Roman" w:hAnsi="Times New Roman"/>
          <w:i/>
          <w:iCs/>
          <w:szCs w:val="24"/>
        </w:rPr>
        <w:t>International Journal of Environmental Research and Public Health</w:t>
      </w:r>
      <w:r w:rsidRPr="00662E40">
        <w:rPr>
          <w:rFonts w:ascii="Times New Roman" w:hAnsi="Times New Roman"/>
          <w:szCs w:val="24"/>
        </w:rPr>
        <w:t xml:space="preserve">, </w:t>
      </w:r>
      <w:r w:rsidRPr="00662E40">
        <w:rPr>
          <w:rFonts w:ascii="Times New Roman" w:hAnsi="Times New Roman"/>
          <w:i/>
          <w:iCs/>
          <w:szCs w:val="24"/>
        </w:rPr>
        <w:t>19</w:t>
      </w:r>
      <w:r w:rsidRPr="00662E40">
        <w:rPr>
          <w:rFonts w:ascii="Times New Roman" w:hAnsi="Times New Roman"/>
          <w:szCs w:val="24"/>
        </w:rPr>
        <w:t>(3), 1894. https://doi.org/10.3390/ijerph19031894</w:t>
      </w:r>
    </w:p>
    <w:p w14:paraId="5F2F1003" w14:textId="77777777" w:rsidR="00A9351C" w:rsidRPr="00662E40" w:rsidRDefault="00A9351C" w:rsidP="003964C4">
      <w:pPr>
        <w:pStyle w:val="Bibliography"/>
        <w:spacing w:line="240" w:lineRule="auto"/>
        <w:ind w:left="540" w:hanging="540"/>
        <w:rPr>
          <w:rFonts w:ascii="Times New Roman" w:hAnsi="Times New Roman"/>
          <w:szCs w:val="24"/>
        </w:rPr>
      </w:pPr>
      <w:r w:rsidRPr="00662E40">
        <w:rPr>
          <w:rFonts w:ascii="Times New Roman" w:hAnsi="Times New Roman"/>
          <w:szCs w:val="24"/>
        </w:rPr>
        <w:t xml:space="preserve">Zhu, J., &amp; Fan, Y. (2018). Daily travel behavior and emotional well-being: Effects of trip mode, duration, purpose, and companionship. </w:t>
      </w:r>
      <w:r w:rsidRPr="00662E40">
        <w:rPr>
          <w:rFonts w:ascii="Times New Roman" w:hAnsi="Times New Roman"/>
          <w:i/>
          <w:iCs/>
          <w:szCs w:val="24"/>
        </w:rPr>
        <w:t>Transportation Research Part A: Policy and Practice</w:t>
      </w:r>
      <w:r w:rsidRPr="00662E40">
        <w:rPr>
          <w:rFonts w:ascii="Times New Roman" w:hAnsi="Times New Roman"/>
          <w:szCs w:val="24"/>
        </w:rPr>
        <w:t xml:space="preserve">, </w:t>
      </w:r>
      <w:r w:rsidRPr="00662E40">
        <w:rPr>
          <w:rFonts w:ascii="Times New Roman" w:hAnsi="Times New Roman"/>
          <w:i/>
          <w:iCs/>
          <w:szCs w:val="24"/>
        </w:rPr>
        <w:t>118</w:t>
      </w:r>
      <w:r w:rsidRPr="00662E40">
        <w:rPr>
          <w:rFonts w:ascii="Times New Roman" w:hAnsi="Times New Roman"/>
          <w:szCs w:val="24"/>
        </w:rPr>
        <w:t>, 360–373. https://doi.org/10.1016/j.tra.2018.09.019</w:t>
      </w:r>
    </w:p>
    <w:p w14:paraId="56E3C7E0" w14:textId="582F6D29" w:rsidR="00400D59" w:rsidRPr="00662E40" w:rsidRDefault="00400D59" w:rsidP="003964C4">
      <w:pPr>
        <w:ind w:left="540" w:hanging="540"/>
        <w:rPr>
          <w:rFonts w:ascii="Times New Roman" w:hAnsi="Times New Roman"/>
          <w:szCs w:val="24"/>
        </w:rPr>
      </w:pPr>
      <w:r w:rsidRPr="00662E40">
        <w:rPr>
          <w:rFonts w:ascii="Times New Roman" w:hAnsi="Times New Roman"/>
          <w:szCs w:val="24"/>
        </w:rPr>
        <w:fldChar w:fldCharType="end"/>
      </w:r>
    </w:p>
    <w:sectPr w:rsidR="00400D59" w:rsidRPr="00662E40" w:rsidSect="007971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0494E" w14:textId="77777777" w:rsidR="00600166" w:rsidRDefault="00600166">
      <w:r>
        <w:separator/>
      </w:r>
    </w:p>
  </w:endnote>
  <w:endnote w:type="continuationSeparator" w:id="0">
    <w:p w14:paraId="3FA5655D" w14:textId="77777777" w:rsidR="00600166" w:rsidRDefault="0060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750560"/>
      <w:docPartObj>
        <w:docPartGallery w:val="Page Numbers (Bottom of Page)"/>
        <w:docPartUnique/>
      </w:docPartObj>
    </w:sdtPr>
    <w:sdtEndPr>
      <w:rPr>
        <w:noProof/>
      </w:rPr>
    </w:sdtEndPr>
    <w:sdtContent>
      <w:p w14:paraId="27231CB1" w14:textId="2FEAF4CE" w:rsidR="00F828B0" w:rsidRDefault="00BF1C15" w:rsidP="003518AB">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277741"/>
      <w:docPartObj>
        <w:docPartGallery w:val="Page Numbers (Bottom of Page)"/>
        <w:docPartUnique/>
      </w:docPartObj>
    </w:sdtPr>
    <w:sdtEndPr>
      <w:rPr>
        <w:noProof/>
      </w:rPr>
    </w:sdtEndPr>
    <w:sdtContent>
      <w:p w14:paraId="39529355" w14:textId="77777777" w:rsidR="003964C4" w:rsidRDefault="003964C4" w:rsidP="003518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0D92E" w14:textId="77777777" w:rsidR="00600166" w:rsidRDefault="00600166">
      <w:r>
        <w:separator/>
      </w:r>
    </w:p>
  </w:footnote>
  <w:footnote w:type="continuationSeparator" w:id="0">
    <w:p w14:paraId="02C2FFDC" w14:textId="77777777" w:rsidR="00600166" w:rsidRDefault="00600166">
      <w:r>
        <w:continuationSeparator/>
      </w:r>
    </w:p>
  </w:footnote>
  <w:footnote w:id="1">
    <w:p w14:paraId="55E187BD" w14:textId="1901F012" w:rsidR="00DD6936" w:rsidRPr="003518AB" w:rsidRDefault="00DD6936" w:rsidP="007F24B9">
      <w:pPr>
        <w:autoSpaceDE w:val="0"/>
        <w:autoSpaceDN w:val="0"/>
        <w:adjustRightInd w:val="0"/>
        <w:spacing w:after="60"/>
        <w:jc w:val="both"/>
        <w:rPr>
          <w:rFonts w:ascii="Times New Roman" w:eastAsia="Malgun Gothic" w:hAnsi="Times New Roman"/>
          <w:color w:val="000000"/>
          <w:sz w:val="20"/>
        </w:rPr>
      </w:pPr>
      <w:r w:rsidRPr="003579F5">
        <w:rPr>
          <w:rStyle w:val="FootnoteReference"/>
          <w:rFonts w:ascii="Times New Roman" w:hAnsi="Times New Roman"/>
          <w:sz w:val="20"/>
        </w:rPr>
        <w:footnoteRef/>
      </w:r>
      <w:r w:rsidRPr="003579F5">
        <w:rPr>
          <w:rFonts w:ascii="Times New Roman" w:eastAsia="Malgun Gothic" w:hAnsi="Times New Roman"/>
          <w:sz w:val="20"/>
        </w:rPr>
        <w:t xml:space="preserve">Further, most studies considering BE measures ignore the potential endogeneity of these measures to walking behavior. </w:t>
      </w:r>
      <w:r w:rsidRPr="003579F5">
        <w:rPr>
          <w:rFonts w:ascii="Times New Roman" w:hAnsi="Times New Roman"/>
          <w:sz w:val="20"/>
        </w:rPr>
        <w:t>This is particularly important when using cross-sectional data, because of the potential comingling of “true” BE effects with a spurious associative effect originating from the non-random assignment of individuals to residential locations.</w:t>
      </w:r>
      <w:r w:rsidR="00F856E8" w:rsidRPr="003579F5">
        <w:rPr>
          <w:rFonts w:ascii="Times New Roman" w:eastAsiaTheme="minorEastAsia" w:hAnsi="Times New Roman" w:hint="eastAsia"/>
          <w:sz w:val="20"/>
          <w:lang w:eastAsia="ko-KR"/>
        </w:rPr>
        <w:t xml:space="preserve"> </w:t>
      </w:r>
      <w:r w:rsidR="00F856E8" w:rsidRPr="003579F5">
        <w:rPr>
          <w:rFonts w:ascii="Times New Roman" w:eastAsiaTheme="minorEastAsia" w:hAnsi="Times New Roman"/>
          <w:sz w:val="20"/>
          <w:lang w:eastAsia="ko-KR"/>
        </w:rPr>
        <w:fldChar w:fldCharType="begin"/>
      </w:r>
      <w:r w:rsidR="003828FC">
        <w:rPr>
          <w:rFonts w:ascii="Times New Roman" w:eastAsiaTheme="minorEastAsia" w:hAnsi="Times New Roman"/>
          <w:sz w:val="20"/>
          <w:lang w:eastAsia="ko-KR"/>
        </w:rPr>
        <w:instrText xml:space="preserve"> ADDIN ZOTERO_ITEM CSL_CITATION {"citationID":"nrGXbmZ0","properties":{"formattedCitation":"(Bhat &amp; Guo, 2007)","plainCitation":"(Bhat &amp; Guo, 2007)","dontUpdate":true,"noteIndex":1},"citationItems":[{"id":1608,"uris":["http://zotero.org/users/10132210/items/HFHPFCTJ"],"itemData":{"id":1608,"type":"article-journal","abstract":"There has been an increasing interest in the land use-transportation connection in the past decade, motivated by the possibility that design policies associated with the built environment can be used to control, manage, and shape individual traveler behavior and aggregate travel demand. In this line of research and application pursuit, it is critical to understand whether the empirically observed association between the built environment and travel behavior-related variables is a true reﬂection of underlying causality or simply a spurious correlation attributable to the intervening relationship between the built environment and the characteristics of people who choose to live in particular built environments.","container-title":"Transportation Research Part B: Methodological","DOI":"10.1016/j.trb.2005.12.005","ISSN":"01912615","issue":"5","journalAbbreviation":"Transportation Research Part B: Methodological","language":"en","license":"https://www.elsevier.com/tdm/userlicense/1.0/","page":"506-526","source":"DOI.org (Crossref)","title":"A comprehensive analysis of built environment characteristics on household residential choice and auto ownership levels","volume":"41","author":[{"family":"Bhat","given":"Chandra R."},{"family":"Guo","given":"Jessica Y."}],"issued":{"date-parts":[["2007",6]]}}}],"schema":"https://github.com/citation-style-language/schema/raw/master/csl-citation.json"} </w:instrText>
      </w:r>
      <w:r w:rsidR="00F856E8" w:rsidRPr="003579F5">
        <w:rPr>
          <w:rFonts w:ascii="Times New Roman" w:eastAsiaTheme="minorEastAsia" w:hAnsi="Times New Roman"/>
          <w:sz w:val="20"/>
          <w:lang w:eastAsia="ko-KR"/>
        </w:rPr>
        <w:fldChar w:fldCharType="separate"/>
      </w:r>
      <w:r w:rsidR="00F856E8" w:rsidRPr="003579F5">
        <w:rPr>
          <w:rFonts w:ascii="Times New Roman" w:hAnsi="Times New Roman"/>
          <w:sz w:val="20"/>
        </w:rPr>
        <w:t xml:space="preserve">Bhat </w:t>
      </w:r>
      <w:r w:rsidR="00F856E8" w:rsidRPr="003579F5">
        <w:rPr>
          <w:rFonts w:ascii="Times New Roman" w:eastAsiaTheme="minorEastAsia" w:hAnsi="Times New Roman" w:hint="eastAsia"/>
          <w:sz w:val="20"/>
          <w:lang w:eastAsia="ko-KR"/>
        </w:rPr>
        <w:t>and</w:t>
      </w:r>
      <w:r w:rsidR="00F856E8" w:rsidRPr="003579F5">
        <w:rPr>
          <w:rFonts w:ascii="Times New Roman" w:hAnsi="Times New Roman"/>
          <w:sz w:val="20"/>
        </w:rPr>
        <w:t xml:space="preserve"> Guo </w:t>
      </w:r>
      <w:r w:rsidR="00F856E8" w:rsidRPr="003579F5">
        <w:rPr>
          <w:rFonts w:ascii="Times New Roman" w:eastAsiaTheme="minorEastAsia" w:hAnsi="Times New Roman" w:hint="eastAsia"/>
          <w:sz w:val="20"/>
          <w:lang w:eastAsia="ko-KR"/>
        </w:rPr>
        <w:t>(</w:t>
      </w:r>
      <w:r w:rsidR="00F856E8" w:rsidRPr="003579F5">
        <w:rPr>
          <w:rFonts w:ascii="Times New Roman" w:hAnsi="Times New Roman"/>
          <w:sz w:val="20"/>
        </w:rPr>
        <w:t>2007)</w:t>
      </w:r>
      <w:r w:rsidR="00F856E8" w:rsidRPr="003579F5">
        <w:rPr>
          <w:rFonts w:ascii="Times New Roman" w:eastAsiaTheme="minorEastAsia" w:hAnsi="Times New Roman"/>
          <w:sz w:val="20"/>
          <w:lang w:eastAsia="ko-KR"/>
        </w:rPr>
        <w:fldChar w:fldCharType="end"/>
      </w:r>
      <w:bookmarkStart w:id="27" w:name="_Hlk155432740"/>
      <w:r w:rsidRPr="003579F5">
        <w:rPr>
          <w:rFonts w:ascii="Times New Roman" w:hAnsi="Times New Roman"/>
          <w:color w:val="000000" w:themeColor="text1"/>
          <w:sz w:val="20"/>
        </w:rPr>
        <w:t xml:space="preserve"> discuss this residential self-selection issue at length. More recent studies that establish the presence of such self-selection effects include</w:t>
      </w:r>
      <w:r w:rsidR="00F856E8" w:rsidRPr="003579F5">
        <w:rPr>
          <w:rFonts w:ascii="Times New Roman" w:eastAsiaTheme="minorEastAsia" w:hAnsi="Times New Roman" w:hint="eastAsia"/>
          <w:color w:val="000000" w:themeColor="text1"/>
          <w:sz w:val="20"/>
          <w:lang w:eastAsia="ko-KR"/>
        </w:rPr>
        <w:t xml:space="preserve"> </w:t>
      </w:r>
      <w:r w:rsidR="00F856E8" w:rsidRPr="003579F5">
        <w:rPr>
          <w:rFonts w:ascii="Times New Roman" w:eastAsiaTheme="minorEastAsia" w:hAnsi="Times New Roman"/>
          <w:color w:val="000000" w:themeColor="text1"/>
          <w:sz w:val="20"/>
          <w:lang w:eastAsia="ko-KR"/>
        </w:rPr>
        <w:fldChar w:fldCharType="begin"/>
      </w:r>
      <w:r w:rsidR="003828FC">
        <w:rPr>
          <w:rFonts w:ascii="Times New Roman" w:eastAsiaTheme="minorEastAsia" w:hAnsi="Times New Roman"/>
          <w:color w:val="000000" w:themeColor="text1"/>
          <w:sz w:val="20"/>
          <w:lang w:eastAsia="ko-KR"/>
        </w:rPr>
        <w:instrText xml:space="preserve"> ADDIN ZOTERO_ITEM CSL_CITATION {"citationID":"LqzHel34","properties":{"unsorted":true,"formattedCitation":"(Van Wee, 2009; Van Acker et al., 2014; Bhat et al., 2016; Bhat, 2024)","plainCitation":"(Van Wee, 2009; Van Acker et al., 2014; Bhat et al., 2016; Bhat, 2024)","dontUpdate":true,"noteIndex":1},"citationItems":[{"id":1610,"uris":["http://zotero.org/users/10132210/items/UTT8RE3Q"],"itemData":{"id":1610,"type":"article-journal","abstract":"In the last decade the importance of attitude-related residential self-selection has frequently been recognized. In addition people can theoretically self-select them with respect to other location choices, such as job locations, with respect to travel behaviour, or with respect to the exposure to transport externalities such as noise and congestion. In this paper, we argue that insights into self-selection processes might significantly improve our knowledge on location choices, travel behaviour and transport externalities. We elaborate on options for self-selection and briefly formulate methodologies for research into self-selection.","container-title":"Transport Reviews","DOI":"10.1080/01441640902752961","ISSN":"0144-1647, 1464-5327","issue":"3","journalAbbreviation":"Transport Reviews","language":"en","page":"279-292","source":"DOI.org (Crossref)","title":"Self‐Selection: A Key to a Better Understanding of Location Choices, Travel Behaviour and Transport Externalities?","title-short":"Self‐Selection","volume":"29","author":[{"family":"Van Wee","given":"Bert"}],"issued":{"date-parts":[["2009",5]]}}},{"id":1612,"uris":["http://zotero.org/users/10132210/items/SNZ2ETM6"],"itemData":{"id":1612,"type":"article-journal","abstract":"The majority of land use-travel behaviour studies only considers the direct inﬂuence of spatial characteristics on daily travel behaviour. However, this framework should be expanded. A ﬁrst step is to explore the complex interdependencies of long-term lifestyle decisions, medium-term decisions about residential location and car ownership, and the underlying residential and travel attitudes. Travel behaviour should be considered within a hierarchy of decisions while considering the motivational background of these decisions. Using data from an Internet survey completed by þ1800 respondents in Flanders, Belgium, this paper deﬁnes car ownership somewhat more broadly as car availability. Results of a structural equation model indicate a signiﬁcant direct effect of the residential neighbourhood on car availability. However, effects are small compared to the inﬂuence of other variables such as stage of life and travel (mode) attitude, the latter referring to travel-related selfselection. Moreover, one should keep in mind that residential attitudes remain important in the initial selection of the residential neighbourhood and its spatial characteristics, indicating the need to control for residential self-selection.","container-title":"Transport Policy","DOI":"10.1016/j.tranpol.2014.05.006","ISSN":"0967070X","journalAbbreviation":"Transport Policy","language":"en","page":"88-99","source":"DOI.org (Crossref)","title":"Car availability explained by the structural relationships between lifestyles, residential location, and underlying residential and travel attitudes","volume":"35","author":[{"family":"Van Acker","given":"Veronique"},{"family":"Mokhtarian","given":"Patricia L."},{"family":"Witlox","given":"Frank"}],"issued":{"date-parts":[["2014",9]]}}},{"id":1620,"uris":["http://zotero.org/users/10132210/items/TPHXMB8N"],"itemData":{"id":1620,"type":"article-journal","abstract":"This paper makes both a methodological contribution as well as an empirical contribution. From a methodological perspective, we propose a new econometric approach for the estimation of joint mixed models that include a multiple discrete choice outcome and a nominal discrete outcome, in addition to the count, binary/ordinal outcomes, and continuous outcomes considered in traditional structural equation models. These outcomes are modeled together by specifying latent underlying unobserved individual lifestyle, personality, and attitudinal factors that impact the many outcomes, and generate the jointness among the outcomes. From an empirical perspective, we analyze residential location choice, household vehicle ownership choice, as well as time-use choices, and investigate the extent of association versus causality in the effects of residential density on activity participation and mobility choices. The sample for the empirical application is drawn from a travel survey conducted in the Puget Sound Region in 2014. The results show that residential density effects on activity participation and motorized auto ownership are both associative as well as causal, emphasizing that accounting for residential self-selection effects are not simply esoteric econometric pursuits, but can have important implications for land-use policy measures that focus on neo-urbanist design.","container-title":"Transportation Research Part B: Methodological","DOI":"10.1016/j.trb.2016.03.007","ISSN":"01912615","journalAbbreviation":"Transportation Research Part B: Methodological","language":"en","page":"52-76","source":"DOI.org (Crossref)","title":"Incorporating a multiple discrete-continuous outcome in the generalized heterogeneous data model: Application to residential self-selection effects analysis in an activity time-use behavior model","title-short":"Incorporating a multiple discrete-continuous outcome in the generalized heterogeneous data model","volume":"91","author":[{"family":"Bhat","given":"Chandra R."},{"family":"Astroza","given":"Sebastian"},{"family":"Bhat","given":"Aarti C."},{"family":"Nagel","given":"Kai"}],"issued":{"date-parts":[["2016",9]]}}},{"id":1618,"uris":["http://zotero.org/users/10132210/items/D64M2IWB"],"itemData":{"id":1618,"type":"article-journal","language":"en","source":"Zotero","title":"Transformation-Based Generalization of Ordered-Response Probit Models with Dummy Endogenous Regressors","URL":"https://www.caee.utexas.edu/prof/bhat/ABSTRACTS/Transformation.pdf","author":[{"family":"Bhat","given":"Chandra R"}],"issued":{"date-parts":[["2024",1]]}}}],"schema":"https://github.com/citation-style-language/schema/raw/master/csl-citation.json"} </w:instrText>
      </w:r>
      <w:r w:rsidR="00F856E8" w:rsidRPr="003579F5">
        <w:rPr>
          <w:rFonts w:ascii="Times New Roman" w:eastAsiaTheme="minorEastAsia" w:hAnsi="Times New Roman"/>
          <w:color w:val="000000" w:themeColor="text1"/>
          <w:sz w:val="20"/>
          <w:lang w:eastAsia="ko-KR"/>
        </w:rPr>
        <w:fldChar w:fldCharType="separate"/>
      </w:r>
      <w:r w:rsidR="00F856E8" w:rsidRPr="003579F5">
        <w:rPr>
          <w:rFonts w:ascii="Times New Roman" w:hAnsi="Times New Roman"/>
          <w:sz w:val="20"/>
        </w:rPr>
        <w:t>Van Wee, 2009; Van Acker et al., 2014; Bhat et al., 2016</w:t>
      </w:r>
      <w:r w:rsidR="00171CB1" w:rsidRPr="003579F5">
        <w:rPr>
          <w:rFonts w:ascii="Times New Roman" w:eastAsiaTheme="minorEastAsia" w:hAnsi="Times New Roman" w:hint="eastAsia"/>
          <w:sz w:val="20"/>
          <w:lang w:eastAsia="ko-KR"/>
        </w:rPr>
        <w:t>, and</w:t>
      </w:r>
      <w:r w:rsidR="00F856E8" w:rsidRPr="003579F5">
        <w:rPr>
          <w:rFonts w:ascii="Times New Roman" w:hAnsi="Times New Roman"/>
          <w:sz w:val="20"/>
        </w:rPr>
        <w:t xml:space="preserve"> Bhat, 2024</w:t>
      </w:r>
      <w:r w:rsidR="00171CB1" w:rsidRPr="003579F5">
        <w:rPr>
          <w:rFonts w:ascii="Times New Roman" w:eastAsiaTheme="minorEastAsia" w:hAnsi="Times New Roman" w:hint="eastAsia"/>
          <w:sz w:val="20"/>
          <w:lang w:eastAsia="ko-KR"/>
        </w:rPr>
        <w:t>.</w:t>
      </w:r>
      <w:r w:rsidR="00F856E8" w:rsidRPr="003579F5">
        <w:rPr>
          <w:rFonts w:ascii="Times New Roman" w:eastAsiaTheme="minorEastAsia" w:hAnsi="Times New Roman"/>
          <w:color w:val="000000" w:themeColor="text1"/>
          <w:sz w:val="20"/>
          <w:lang w:eastAsia="ko-KR"/>
        </w:rPr>
        <w:fldChar w:fldCharType="end"/>
      </w:r>
      <w:r w:rsidRPr="003579F5">
        <w:rPr>
          <w:rFonts w:ascii="Times New Roman" w:hAnsi="Times New Roman"/>
          <w:sz w:val="20"/>
        </w:rPr>
        <w:t xml:space="preserve"> </w:t>
      </w:r>
      <w:r w:rsidR="00171CB1" w:rsidRPr="003579F5">
        <w:rPr>
          <w:rFonts w:ascii="Times New Roman" w:hAnsi="Times New Roman"/>
          <w:sz w:val="20"/>
        </w:rPr>
        <w:fldChar w:fldCharType="begin"/>
      </w:r>
      <w:r w:rsidR="003828FC">
        <w:rPr>
          <w:rFonts w:ascii="Times New Roman" w:hAnsi="Times New Roman"/>
          <w:sz w:val="20"/>
        </w:rPr>
        <w:instrText xml:space="preserve"> ADDIN ZOTERO_ITEM CSL_CITATION {"citationID":"ZGWd3fbo","properties":{"formattedCitation":"(Guan et al., 2020)","plainCitation":"(Guan et al., 2020)","dontUpdate":true,"noteIndex":1},"citationItems":[{"id":1614,"uris":["http://zotero.org/users/10132210/items/QJ4V7NCU"],"itemData":{"id":1614,"type":"article-journal","abstract":"Residential self-selection (RSS) is an important concern in the land use-travel research. Although many studies have addressed RSS during the past two decades, empirical results are inconsistent in terms of the existence, magnitude, and direction of self-selection bias. Moreover, recent studies substantiated other plausible associations within the theoretical framework of RSS, such as the endogeneity of travel attitudes. These further complicate the role of RSS in the land use-travel relationship. To improve understanding, this paper summarises recent progress in the RSS research, especially the studies published in the last decade. Speciﬁcally, we review three types of inﬂuences among the built environment, attitudes, and travel behaviour, and discuss unsolved problems within each type. We also discuss measurement issues of the built environment and attitudes in the RSS research. Because attitudes could be confounders, moderators, and mediators of the link between the built environment and travel behaviour, we recommend panel data with at least three waves of household travel surveys to address the complicated inﬂuences of attitudes. Future research needs to be more process-oriented to better understand the nature of RSS and its complex roles in the land usetravel research.","container-title":"Transport Reviews","DOI":"10.1080/01441647.2019.1692965","ISSN":"0144-1647, 1464-5327","issue":"3","journalAbbreviation":"Transport Reviews","language":"en","page":"267-287","source":"DOI.org (Crossref)","title":"The role of residential self-selection in land use-travel research: a review of recent findings","title-short":"The role of residential self-selection in land use-travel research","volume":"40","author":[{"family":"Guan","given":"Xiaodong"},{"family":"Wang","given":"Donggen"},{"family":"Jason Cao","given":"Xinyu"}],"issued":{"date-parts":[["2020",5,3]]}}}],"schema":"https://github.com/citation-style-language/schema/raw/master/csl-citation.json"} </w:instrText>
      </w:r>
      <w:r w:rsidR="00171CB1" w:rsidRPr="003579F5">
        <w:rPr>
          <w:rFonts w:ascii="Times New Roman" w:hAnsi="Times New Roman"/>
          <w:sz w:val="20"/>
        </w:rPr>
        <w:fldChar w:fldCharType="separate"/>
      </w:r>
      <w:r w:rsidR="00171CB1" w:rsidRPr="003579F5">
        <w:rPr>
          <w:rFonts w:ascii="Times New Roman" w:hAnsi="Times New Roman"/>
          <w:sz w:val="20"/>
        </w:rPr>
        <w:t xml:space="preserve">Guan et al., </w:t>
      </w:r>
      <w:r w:rsidR="003579F5" w:rsidRPr="003579F5">
        <w:rPr>
          <w:rFonts w:ascii="Times New Roman" w:eastAsiaTheme="minorEastAsia" w:hAnsi="Times New Roman" w:hint="eastAsia"/>
          <w:sz w:val="20"/>
          <w:lang w:eastAsia="ko-KR"/>
        </w:rPr>
        <w:t>(</w:t>
      </w:r>
      <w:r w:rsidR="00171CB1" w:rsidRPr="003579F5">
        <w:rPr>
          <w:rFonts w:ascii="Times New Roman" w:hAnsi="Times New Roman"/>
          <w:sz w:val="20"/>
        </w:rPr>
        <w:t>2020)</w:t>
      </w:r>
      <w:r w:rsidR="00171CB1" w:rsidRPr="003579F5">
        <w:rPr>
          <w:rFonts w:ascii="Times New Roman" w:hAnsi="Times New Roman"/>
          <w:sz w:val="20"/>
        </w:rPr>
        <w:fldChar w:fldCharType="end"/>
      </w:r>
      <w:r w:rsidRPr="003579F5">
        <w:rPr>
          <w:rFonts w:ascii="Times New Roman" w:hAnsi="Times New Roman"/>
          <w:color w:val="000000" w:themeColor="text1"/>
          <w:sz w:val="20"/>
        </w:rPr>
        <w:t xml:space="preserve"> </w:t>
      </w:r>
      <w:bookmarkEnd w:id="27"/>
      <w:r w:rsidRPr="003579F5">
        <w:rPr>
          <w:rFonts w:ascii="Times New Roman" w:hAnsi="Times New Roman"/>
          <w:color w:val="000000" w:themeColor="text1"/>
          <w:sz w:val="20"/>
        </w:rPr>
        <w:t>provides an exhaustive review of this self-selection literature. In this study, we steer clear of these issues by not considering any BE measure as an exogenous variable. In any case, BE measures cannot be constructed in our study, because, other than the Census Division (and Region) of residence, no other geo-location identifier of an individual’s residence was collected in the AARP survey. But, as indicated earlier, the AARP survey is a timely and rich source of walking behavior of older adults in the aftermath of the pandemic.</w:t>
      </w:r>
      <w:r>
        <w:rPr>
          <w:rFonts w:ascii="Times New Roman" w:hAnsi="Times New Roman"/>
          <w:color w:val="000000" w:themeColor="text1"/>
          <w:sz w:val="20"/>
        </w:rPr>
        <w:t xml:space="preserve"> </w:t>
      </w:r>
    </w:p>
  </w:footnote>
  <w:footnote w:id="2">
    <w:p w14:paraId="4347C0F3" w14:textId="06ACA9DE" w:rsidR="00B41242" w:rsidRDefault="00B41242" w:rsidP="003518AB">
      <w:pPr>
        <w:pStyle w:val="FootnoteText"/>
        <w:jc w:val="both"/>
      </w:pPr>
      <w:r>
        <w:rPr>
          <w:rStyle w:val="FootnoteReference"/>
        </w:rPr>
        <w:footnoteRef/>
      </w:r>
      <w:r w:rsidRPr="00AA1CC1">
        <w:t>In joint limited dependent variable models</w:t>
      </w:r>
      <w:r>
        <w:t xml:space="preserve"> such as the one estimated in the current paper</w:t>
      </w:r>
      <w:r w:rsidRPr="00AA1CC1">
        <w:t xml:space="preserve">, logical consistency considerations allow only one-way recursive effects, where the observed value of one endogenous variable can influence the underlying propensity of another endogenous variable, but not vice versa. This is discussed in detail </w:t>
      </w:r>
      <w:r>
        <w:t>in</w:t>
      </w:r>
      <w:r>
        <w:rPr>
          <w:rFonts w:eastAsiaTheme="minorEastAsia" w:hint="eastAsia"/>
          <w:lang w:eastAsia="ko-KR"/>
        </w:rPr>
        <w:t xml:space="preserve"> </w:t>
      </w:r>
      <w:r>
        <w:rPr>
          <w:rFonts w:eastAsiaTheme="minorEastAsia"/>
          <w:lang w:eastAsia="ko-KR"/>
        </w:rPr>
        <w:fldChar w:fldCharType="begin"/>
      </w:r>
      <w:r w:rsidR="00527A5E">
        <w:rPr>
          <w:rFonts w:eastAsiaTheme="minorEastAsia"/>
          <w:lang w:eastAsia="ko-KR"/>
        </w:rPr>
        <w:instrText xml:space="preserve"> ADDIN ZOTERO_ITEM CSL_CITATION {"citationID":"g0X9e2Rm","properties":{"formattedCitation":"(Bhat, 2015)","plainCitation":"(Bhat, 2015)","noteIndex":2},"citationItems":[{"id":1131,"uris":["http://zotero.org/users/10132210/items/QL3P4LZD"],"itemData":{"id":1131,"type":"article-journal","abstract":"This paper formulates a generalized heterogeneous data model (GHDM) that jointly handles mixed types of dependent variables—including multiple nominal outcomes, multiple ordinal variables, and multiple count variables, as well as multiple continuous variables—by representing the covariance relationships among them through a reduced number of latent factors. Sufﬁciency conditions for identiﬁcation of the GHDM parameters are presented. The maximum approximate composite marginal likelihood (MACML) method is proposed to estimate this jointly mixed model system. This estimation method provides computational time advantages since the dimensionality of integration in the likelihood function is independent of the number of latent factors. The study undertakes a simulation experiment within the virtual context of integrating residential location choice and travel behavior to evaluate the ability of the MACML approach to recover parameters. The simulation results show that the MACML approach effectively recovers underlying parameters, and also that ignoring the multi-dimensional nature of the relationship among mixed types of dependent variables can lead not only to inconsistent parameter estimation, but also have important implications for policy analysis.","container-title":"Transportation Research Part B: Methodological","DOI":"10.1016/j.trb.2015.05.017","ISSN":"01912615","journalAbbreviation":"Transportation Research Part B: Methodological","language":"en","page":"50-77","source":"DOI.org (Crossref)","title":"A new generalized heterogeneous data model (GHDM) to jointly model mixed types of dependent variables","volume":"79","author":[{"family":"Bhat","given":"Chandra R."}],"issued":{"date-parts":[["2015",9]]}}}],"schema":"https://github.com/citation-style-language/schema/raw/master/csl-citation.json"} </w:instrText>
      </w:r>
      <w:r>
        <w:rPr>
          <w:rFonts w:eastAsiaTheme="minorEastAsia"/>
          <w:lang w:eastAsia="ko-KR"/>
        </w:rPr>
        <w:fldChar w:fldCharType="separate"/>
      </w:r>
      <w:r w:rsidRPr="004D684B">
        <w:rPr>
          <w:rFonts w:cs="Times"/>
        </w:rPr>
        <w:t>(Bhat, 2015)</w:t>
      </w:r>
      <w:r>
        <w:rPr>
          <w:rFonts w:eastAsiaTheme="minorEastAsia"/>
          <w:lang w:eastAsia="ko-KR"/>
        </w:rPr>
        <w:fldChar w:fldCharType="end"/>
      </w:r>
      <w:r>
        <w:rPr>
          <w:rFonts w:eastAsiaTheme="minorEastAsia" w:hint="eastAsia"/>
          <w:lang w:eastAsia="ko-KR"/>
        </w:rPr>
        <w:t>.</w:t>
      </w:r>
    </w:p>
  </w:footnote>
  <w:footnote w:id="3">
    <w:p w14:paraId="3706EDCF" w14:textId="454A119A" w:rsidR="00E4784E" w:rsidRPr="00B4106B" w:rsidRDefault="00E4784E" w:rsidP="007F24B9">
      <w:pPr>
        <w:spacing w:after="60"/>
        <w:rPr>
          <w:sz w:val="20"/>
        </w:rPr>
      </w:pPr>
      <w:r w:rsidRPr="00504DC0">
        <w:rPr>
          <w:sz w:val="20"/>
          <w:vertAlign w:val="superscript"/>
        </w:rPr>
        <w:footnoteRef/>
      </w:r>
      <w:r w:rsidRPr="00B4106B">
        <w:rPr>
          <w:sz w:val="20"/>
        </w:rPr>
        <w:t xml:space="preserve"> Additional details of the survey administration and methodology are available at </w:t>
      </w:r>
      <w:hyperlink r:id="rId1" w:history="1">
        <w:r w:rsidRPr="00B4106B">
          <w:rPr>
            <w:sz w:val="20"/>
          </w:rPr>
          <w:t>https://www.aarp.org/pri/topics/health/prevention-wellness/walking-attitudes-habits-adults-50-older/</w:t>
        </w:r>
      </w:hyperlink>
      <w:r w:rsidRPr="00B4106B">
        <w:rPr>
          <w:sz w:val="20"/>
        </w:rPr>
        <w:t>.</w:t>
      </w:r>
      <w:r>
        <w:rPr>
          <w:sz w:val="20"/>
        </w:rPr>
        <w:t xml:space="preserve"> </w:t>
      </w:r>
      <w:r w:rsidRPr="00B4106B">
        <w:rPr>
          <w:sz w:val="20"/>
        </w:rPr>
        <w:t xml:space="preserve">Accessed </w:t>
      </w:r>
      <w:r>
        <w:rPr>
          <w:sz w:val="20"/>
        </w:rPr>
        <w:t>June</w:t>
      </w:r>
      <w:r w:rsidRPr="00B4106B">
        <w:rPr>
          <w:sz w:val="20"/>
        </w:rPr>
        <w:t xml:space="preserve"> </w:t>
      </w:r>
      <w:r>
        <w:rPr>
          <w:sz w:val="20"/>
        </w:rPr>
        <w:t>6</w:t>
      </w:r>
      <w:r w:rsidRPr="00B4106B">
        <w:rPr>
          <w:sz w:val="20"/>
        </w:rPr>
        <w:t>, 202</w:t>
      </w:r>
      <w:r>
        <w:rPr>
          <w:sz w:val="20"/>
        </w:rPr>
        <w:t>4</w:t>
      </w:r>
      <w:r w:rsidRPr="00B4106B">
        <w:rPr>
          <w:sz w:val="20"/>
        </w:rPr>
        <w:t xml:space="preserve">. </w:t>
      </w:r>
    </w:p>
  </w:footnote>
  <w:footnote w:id="4">
    <w:p w14:paraId="462E6357" w14:textId="1F723A11" w:rsidR="00212F6A" w:rsidRPr="003518AB" w:rsidRDefault="00212F6A" w:rsidP="003518AB">
      <w:pPr>
        <w:autoSpaceDE w:val="0"/>
        <w:autoSpaceDN w:val="0"/>
        <w:adjustRightInd w:val="0"/>
        <w:jc w:val="both"/>
        <w:rPr>
          <w:rFonts w:ascii="Times New Roman" w:hAnsi="Times New Roman"/>
          <w:sz w:val="20"/>
        </w:rPr>
      </w:pPr>
      <w:r w:rsidRPr="00C5452C">
        <w:rPr>
          <w:rStyle w:val="FootnoteReference"/>
          <w:rFonts w:ascii="Times New Roman" w:hAnsi="Times New Roman"/>
          <w:sz w:val="20"/>
        </w:rPr>
        <w:footnoteRef/>
      </w:r>
      <w:r w:rsidRPr="00C5452C">
        <w:rPr>
          <w:rFonts w:ascii="Times New Roman" w:hAnsi="Times New Roman"/>
          <w:sz w:val="20"/>
        </w:rPr>
        <w:t xml:space="preserve"> The regions were </w:t>
      </w:r>
      <w:r w:rsidRPr="00C5452C">
        <w:rPr>
          <w:rFonts w:ascii="Times New Roman" w:eastAsiaTheme="minorEastAsia" w:hAnsi="Times New Roman"/>
          <w:sz w:val="20"/>
          <w:lang w:eastAsia="ko-KR"/>
        </w:rPr>
        <w:t xml:space="preserve">defined based on the nine US Census Divisions of </w:t>
      </w:r>
      <w:r w:rsidRPr="00C5452C">
        <w:rPr>
          <w:rFonts w:ascii="Times New Roman" w:hAnsi="Times New Roman"/>
          <w:sz w:val="20"/>
        </w:rPr>
        <w:t>New England, Middle Atlantic, East North Central, West North Central, South Atlantic, East South Central, West South Central, Mountain and Pacific. Further, these divisions were aggregated into four Census Regions</w:t>
      </w:r>
      <w:r w:rsidR="00C7226E" w:rsidRPr="00C5452C">
        <w:rPr>
          <w:rFonts w:ascii="Times New Roman" w:hAnsi="Times New Roman"/>
          <w:sz w:val="20"/>
        </w:rPr>
        <w:t xml:space="preserve">: </w:t>
      </w:r>
      <w:r w:rsidRPr="00C5452C">
        <w:rPr>
          <w:rFonts w:ascii="Times New Roman" w:hAnsi="Times New Roman"/>
          <w:sz w:val="20"/>
        </w:rPr>
        <w:t xml:space="preserve">Northeast, South, West, and Midwest. Interestingly, while our sample had ample representation from each Census Division and Region, these geographic dummy variables </w:t>
      </w:r>
      <w:r w:rsidR="00C7226E" w:rsidRPr="00C5452C">
        <w:rPr>
          <w:rFonts w:ascii="Times New Roman" w:hAnsi="Times New Roman"/>
          <w:sz w:val="20"/>
        </w:rPr>
        <w:t xml:space="preserve">(with one of them being the base category) </w:t>
      </w:r>
      <w:r w:rsidRPr="00C5452C">
        <w:rPr>
          <w:rFonts w:ascii="Times New Roman" w:hAnsi="Times New Roman"/>
          <w:sz w:val="20"/>
        </w:rPr>
        <w:t>did not turn out to be statistically significant even at the 80% confidence level, after controlling for the socio-demographic variables.</w:t>
      </w:r>
      <w:r w:rsidR="00C7226E" w:rsidRPr="00C5452C">
        <w:rPr>
          <w:rFonts w:ascii="Times New Roman" w:hAnsi="Times New Roman"/>
          <w:sz w:val="20"/>
        </w:rPr>
        <w:t xml:space="preserve"> That is, after controlling for socio-demographics, no heterogeneity based on geography of  residence (at least captured in the form of Census Divisions and Regions, as available in the AARP walking survey) was observed in any of the three walking outcomes considered in the current paper. </w:t>
      </w:r>
      <w:r w:rsidRPr="00C5452C">
        <w:rPr>
          <w:rFonts w:ascii="Times New Roman" w:hAnsi="Times New Roman"/>
          <w:sz w:val="20"/>
        </w:rPr>
        <w:t>Thus, in the rest of this paper, we do n</w:t>
      </w:r>
      <w:r w:rsidR="00C7226E" w:rsidRPr="00C5452C">
        <w:rPr>
          <w:rFonts w:ascii="Times New Roman" w:hAnsi="Times New Roman"/>
          <w:sz w:val="20"/>
        </w:rPr>
        <w:t xml:space="preserve">ot </w:t>
      </w:r>
      <w:r w:rsidR="00874470">
        <w:rPr>
          <w:rFonts w:ascii="Times New Roman" w:hAnsi="Times New Roman"/>
          <w:sz w:val="20"/>
        </w:rPr>
        <w:t xml:space="preserve">raise the issue of </w:t>
      </w:r>
      <w:r w:rsidR="00C7226E" w:rsidRPr="00C5452C">
        <w:rPr>
          <w:rFonts w:ascii="Times New Roman" w:hAnsi="Times New Roman"/>
          <w:sz w:val="20"/>
        </w:rPr>
        <w:t xml:space="preserve">geographic </w:t>
      </w:r>
      <w:r w:rsidR="00874470">
        <w:rPr>
          <w:rFonts w:ascii="Times New Roman" w:hAnsi="Times New Roman"/>
          <w:sz w:val="20"/>
        </w:rPr>
        <w:t>location residence</w:t>
      </w:r>
      <w:r w:rsidR="00C7226E" w:rsidRPr="00C5452C">
        <w:rPr>
          <w:rFonts w:ascii="Times New Roman" w:hAnsi="Times New Roman"/>
          <w:sz w:val="20"/>
        </w:rPr>
        <w:t xml:space="preserve">. </w:t>
      </w:r>
    </w:p>
  </w:footnote>
  <w:footnote w:id="5">
    <w:p w14:paraId="4F48AF8B" w14:textId="08CB0158" w:rsidR="00BF4EDE" w:rsidRDefault="00BF4EDE" w:rsidP="00BF4EDE">
      <w:pPr>
        <w:pStyle w:val="FootnoteText"/>
        <w:jc w:val="both"/>
      </w:pPr>
      <w:r w:rsidRPr="00587212">
        <w:rPr>
          <w:rStyle w:val="FootnoteReference"/>
        </w:rPr>
        <w:footnoteRef/>
      </w:r>
      <w:r w:rsidRPr="00587212">
        <w:t xml:space="preserve"> </w:t>
      </w:r>
      <w:r w:rsidR="001C479F" w:rsidRPr="00587212">
        <w:t xml:space="preserve">For full transparency, we should </w:t>
      </w:r>
      <w:r w:rsidRPr="00587212">
        <w:t>note that the latest</w:t>
      </w:r>
      <w:r w:rsidRPr="00587212">
        <w:rPr>
          <w:rFonts w:cs="Times"/>
        </w:rPr>
        <w:t xml:space="preserve"> World Health Organization</w:t>
      </w:r>
      <w:r w:rsidRPr="00587212">
        <w:t xml:space="preserve"> guidelines on physical activity and sedentary behavior </w:t>
      </w:r>
      <w:r w:rsidR="005B5A2D" w:rsidRPr="00587212">
        <w:fldChar w:fldCharType="begin"/>
      </w:r>
      <w:r w:rsidR="00527A5E">
        <w:instrText xml:space="preserve"> ADDIN ZOTERO_ITEM CSL_CITATION {"citationID":"adwM932V","properties":{"formattedCitation":"(Bull et al., 2020)","plainCitation":"(Bull et al., 2020)","noteIndex":5},"citationItems":[{"id":1178,"uris":["http://zotero.org/users/10132210/items/GRHAQ966"],"itemData":{"id":1178,"type":"article-journal","abstract":"Objectives\n              To describe new WHO 2020 guidelines on physical activity and sedentary behaviour.\n            \n            \n              Methods\n              The guidelines were developed in accordance with WHO protocols. An expert Guideline Development Group reviewed evidence to assess associations between physical activity and sedentary behaviour for an agreed set of health outcomes and population groups. The assessment used and systematically updated recent relevant systematic reviews; new primary reviews addressed additional health outcomes or subpopulations.\n            \n            \n              Results\n              The new guidelines address children, adolescents, adults, older adults and include new specific recommendations for pregnant and postpartum women and people living with chronic conditions or disability. All adults should undertake 150–300 min of moderate-intensity, or 75–150 min of vigorous-intensity physical activity, or some equivalent combination of moderate-intensity and vigorous-intensity aerobic physical activity, per week. Among children and adolescents, an average of 60 min/day of moderate-to-vigorous intensity aerobic physical activity across the week provides health benefits. The guidelines recommend regular muscle-strengthening activity for all age groups. Additionally, reducing sedentary behaviours is recommended across all age groups and abilities, although evidence was insufficient to quantify a sedentary behaviour threshold.\n            \n            \n              Conclusion\n              \n                These 2020 WHO guidelines update previous WHO recommendations released in 2010. They reaffirm messages that some physical activity is better than none, that more physical activity is better for optimal health outcomes and provide a new recommendation on reducing sedentary behaviours. These guidelines highlight the importance of regularly undertaking both aerobic and muscle strengthening activities and for the first time, there are specific recommendations for specific populations including for pregnant and postpartum women and people living with chronic conditions or disability. These guidelines should be used to inform national health policies aligned with the\n                WHO Global Action Plan on Physical Activity 2018–2030\n                and to strengthen surveillance systems that track progress towards national and global targets.","container-title":"British Journal of Sports Medicine","DOI":"10.1136/bjsports-2020-102955","ISSN":"0306-3674, 1473-0480","issue":"24","journalAbbreviation":"Br J Sports Med","language":"en","page":"1451-1462","source":"DOI.org (Crossref)","title":"World Health Organization 2020 guidelines on physical activity and sedentary behaviour","volume":"54","author":[{"family":"Bull","given":"Fiona C"},{"family":"Al-Ansari","given":"Salih S"},{"family":"Biddle","given":"Stuart"},{"family":"Borodulin","given":"Katja"},{"family":"Buman","given":"Matthew P"},{"family":"Cardon","given":"Greet"},{"family":"Carty","given":"Catherine"},{"family":"Chaput","given":"Jean-Philippe"},{"family":"Chastin","given":"Sebastien"},{"family":"Chou","given":"Roger"},{"family":"Dempsey","given":"Paddy C"},{"family":"DiPietro","given":"Loretta"},{"family":"Ekelund","given":"Ulf"},{"family":"Firth","given":"Joseph"},{"family":"Friedenreich","given":"Christine M"},{"family":"Garcia","given":"Leandro"},{"family":"Gichu","given":"Muthoni"},{"family":"Jago","given":"Russell"},{"family":"Katzmarzyk","given":"Peter T"},{"family":"Lambert","given":"Estelle"},{"family":"Leitzmann","given":"Michael"},{"family":"Milton","given":"Karen"},{"family":"Ortega","given":"Francisco B"},{"family":"Ranasinghe","given":"Chathuranga"},{"family":"Stamatakis","given":"Emmanuel"},{"family":"Tiedemann","given":"Anne"},{"family":"Troiano","given":"Richard P"},{"family":"Van Der Ploeg","given":"Hidde P"},{"family":"Wari","given":"Vicky"},{"family":"Willumsen","given":"Juana F"}],"issued":{"date-parts":[["2020",12]]}}}],"schema":"https://github.com/citation-style-language/schema/raw/master/csl-citation.json"} </w:instrText>
      </w:r>
      <w:r w:rsidR="005B5A2D" w:rsidRPr="00587212">
        <w:fldChar w:fldCharType="separate"/>
      </w:r>
      <w:r w:rsidR="005B5A2D" w:rsidRPr="00587212">
        <w:rPr>
          <w:rFonts w:cs="Times"/>
        </w:rPr>
        <w:t>(Bull et al., 2020)</w:t>
      </w:r>
      <w:r w:rsidR="005B5A2D" w:rsidRPr="00587212">
        <w:fldChar w:fldCharType="end"/>
      </w:r>
      <w:r w:rsidRPr="00587212">
        <w:t xml:space="preserve"> have removed the minimum bout duration </w:t>
      </w:r>
      <w:r w:rsidR="001C479F" w:rsidRPr="00587212">
        <w:t xml:space="preserve">recommendation </w:t>
      </w:r>
      <w:r w:rsidRPr="00587212">
        <w:t>of 10 minutes.</w:t>
      </w:r>
      <w:r w:rsidRPr="00A843AF">
        <w:t xml:space="preserve"> </w:t>
      </w:r>
    </w:p>
  </w:footnote>
  <w:footnote w:id="6">
    <w:p w14:paraId="546ED096" w14:textId="00EAD710" w:rsidR="00F048CB" w:rsidRDefault="00F048CB" w:rsidP="00F048CB">
      <w:pPr>
        <w:pStyle w:val="FootnoteText"/>
        <w:jc w:val="both"/>
      </w:pPr>
      <w:r>
        <w:rPr>
          <w:rStyle w:val="FootnoteReference"/>
        </w:rPr>
        <w:footnoteRef/>
      </w:r>
      <w:r>
        <w:t xml:space="preserve"> </w:t>
      </w:r>
      <w:r w:rsidRPr="00587212">
        <w:t>Neighborhood social cohesion refers to the sense of trust, belonging, and closeness shared among neighbors in a community. Higher social cohesion generally means people feel more connected to their neighbors (</w:t>
      </w:r>
      <w:r w:rsidRPr="00587212">
        <w:rPr>
          <w:rFonts w:eastAsiaTheme="minorEastAsia"/>
          <w:lang w:eastAsia="ko-KR"/>
        </w:rPr>
        <w:fldChar w:fldCharType="begin"/>
      </w:r>
      <w:r w:rsidR="00527A5E">
        <w:rPr>
          <w:rFonts w:eastAsiaTheme="minorEastAsia"/>
          <w:lang w:eastAsia="ko-KR"/>
        </w:rPr>
        <w:instrText xml:space="preserve"> ADDIN ZOTERO_ITEM CSL_CITATION {"citationID":"fXnUnloW","properties":{"formattedCitation":"(Wen et al., 2007)","plainCitation":"(Wen et al., 2007)","dontUpdate":true,"noteIndex":6},"citationItems":[{"id":1037,"uris":["http://zotero.org/users/10132210/items/6EGKLCUW"],"itemData":{"id":1037,"type":"article-journal","abstract":"BACKGROUND: Patients are often advised to initiate a physical activity program by walking for transportation or leisure. This study explored whether neighborhood factors beyond the individual might affect compliance.\nOBJECTIVE: We examined the associations between total walking and neighborhood factors in a multiethnic population-based sample in California and the roles race/ethnicity plays in these associations. DESIGN: Cross-sectional study PARTICIPANTS: Individual-level data were obtained from the 2003 California Health Interview Survey. Participants’ census tracts were linked to Census 2000 data to capture neighborhood SES.\nMEASUREMENTS AND MAIN RESULTS: The dependent variable was self-reported walking at recommended levels. Neighborhood SES was measured by a scale of 4 Census-based variables (alpha=0.83). Social cohesion was measured by a scale tapping the extent of perceived social connectedness, trust, and solidarity among neighbors (alpha=0.70). Neighborhood access to a park, playground, or open space was measured by a single item. Safety was measured by a scale of three items (alpha=0.66). We performed a series of multiple logit models with robust variance estimates while taking complex survey design into account. Neighborhood social cohesion (odds ratio [OR]=1.09, 95% CI= 1.04, 1.14) and access to a park, playground, or open space (OR=1.26, 95% CI=1.16, 1.36) were significant environmental correlates of walking at recommended levels, independent of individual socio-demographics. Subgroup analysis showed that neighborhood effects were different by race/ethnicity.\nCONCLUSIONS: Neighborhood physical and social environmental factors are significantly associated with walking at recommended levels. Being aware of the ways that the environment could affect a patient’s compliance with PA recommendations may help physicians tailor recommendations to circumstances.","container-title":"Journal of General Internal Medicine","DOI":"10.1007/s11606-007-0400-4","ISSN":"0884-8734, 1525-1497","issue":"12","journalAbbreviation":"J GEN INTERN MED","language":"en","license":"http://www.springer.com/tdm","page":"1674-1680","source":"DOI.org (Crossref)","title":"Walking for Transportation or Leisure: What Difference Does the Neighborhood Make?","title-short":"Walking for Transportation or Leisure","volume":"22","author":[{"family":"Wen","given":"Ming"},{"family":"Kandula","given":"Namratha R."},{"family":"Lauderdale","given":"Diane S."}],"issued":{"date-parts":[["2007",11,16]]}}}],"schema":"https://github.com/citation-style-language/schema/raw/master/csl-citation.json"} </w:instrText>
      </w:r>
      <w:r w:rsidRPr="00587212">
        <w:rPr>
          <w:rFonts w:eastAsiaTheme="minorEastAsia"/>
          <w:lang w:eastAsia="ko-KR"/>
        </w:rPr>
        <w:fldChar w:fldCharType="separate"/>
      </w:r>
      <w:r w:rsidRPr="00587212">
        <w:rPr>
          <w:rFonts w:cs="Times"/>
        </w:rPr>
        <w:t>Wen et al., 2007</w:t>
      </w:r>
      <w:r w:rsidRPr="00587212">
        <w:rPr>
          <w:rFonts w:eastAsiaTheme="minorEastAsia"/>
          <w:lang w:eastAsia="ko-KR"/>
        </w:rPr>
        <w:fldChar w:fldCharType="end"/>
      </w:r>
      <w:r w:rsidRPr="00587212">
        <w:rPr>
          <w:rFonts w:eastAsiaTheme="minorEastAsia"/>
          <w:lang w:eastAsia="ko-KR"/>
        </w:rPr>
        <w:t xml:space="preserve">, and </w:t>
      </w:r>
      <w:r w:rsidRPr="00587212">
        <w:rPr>
          <w:rFonts w:eastAsiaTheme="minorEastAsia"/>
          <w:lang w:eastAsia="ko-KR"/>
        </w:rPr>
        <w:fldChar w:fldCharType="begin"/>
      </w:r>
      <w:r w:rsidR="00527A5E">
        <w:rPr>
          <w:rFonts w:eastAsiaTheme="minorEastAsia"/>
          <w:lang w:eastAsia="ko-KR"/>
        </w:rPr>
        <w:instrText xml:space="preserve"> ADDIN ZOTERO_ITEM CSL_CITATION {"citationID":"G5Jei9AG","properties":{"formattedCitation":"(Yi et al., 2016)","plainCitation":"(Yi et al., 2016)","dontUpdate":true,"noteIndex":6},"citationItems":[{"id":1039,"uris":["http://zotero.org/users/10132210/items/N8IF8UQT"],"itemData":{"id":1039,"type":"article-journal","container-title":"Preventing Chronic Disease","DOI":"10.5888/pcd13.160261","ISSN":"1545-1151","journalAbbreviation":"Prev. Chronic Dis.","language":"en","page":"160261","source":"DOI.org (Crossref)","title":"Racial/Ethnic Differences in Associations Between Neighborhood Social Cohesion and Meeting Physical Activity Guidelines, United States, 2013–2014","volume":"13","author":[{"family":"Yi","given":"Stella S."},{"family":"Trinh-Shevrin","given":"Chau"},{"family":"Yen","given":"Irene H."},{"family":"Kwon","given":"Simona C."}],"issued":{"date-parts":[["2016",12,8]]}}}],"schema":"https://github.com/citation-style-language/schema/raw/master/csl-citation.json"} </w:instrText>
      </w:r>
      <w:r w:rsidRPr="00587212">
        <w:rPr>
          <w:rFonts w:eastAsiaTheme="minorEastAsia"/>
          <w:lang w:eastAsia="ko-KR"/>
        </w:rPr>
        <w:fldChar w:fldCharType="separate"/>
      </w:r>
      <w:r w:rsidRPr="00587212">
        <w:rPr>
          <w:rFonts w:cs="Times"/>
        </w:rPr>
        <w:t>Yi et al. 2016)</w:t>
      </w:r>
      <w:r w:rsidRPr="00587212">
        <w:rPr>
          <w:rFonts w:eastAsiaTheme="minorEastAsia"/>
          <w:lang w:eastAsia="ko-KR"/>
        </w:rPr>
        <w:fldChar w:fldCharType="end"/>
      </w:r>
      <w:r w:rsidRPr="00587212">
        <w:rPr>
          <w:rFonts w:eastAsiaTheme="minorEastAsia"/>
          <w:lang w:eastAsia="ko-KR"/>
        </w:rPr>
        <w:t>.</w:t>
      </w:r>
    </w:p>
  </w:footnote>
  <w:footnote w:id="7">
    <w:p w14:paraId="63A2F4AD" w14:textId="76012CE5" w:rsidR="0068736A" w:rsidRDefault="0068736A" w:rsidP="00DD1B58">
      <w:pPr>
        <w:pStyle w:val="FootnoteText"/>
        <w:jc w:val="both"/>
      </w:pPr>
      <w:r>
        <w:rPr>
          <w:rStyle w:val="FootnoteReference"/>
        </w:rPr>
        <w:footnoteRef/>
      </w:r>
      <w:r>
        <w:t xml:space="preserve"> Note that, while the average probability of correct prediction may seem low, this is because of the multivariate nature of our model. </w:t>
      </w:r>
      <w:r w:rsidR="00FD0357">
        <w:t>For almost all individuals in our sample, t</w:t>
      </w:r>
      <w:r>
        <w:t xml:space="preserve">here is a total of </w:t>
      </w:r>
      <w:r w:rsidR="00FD0357">
        <w:t xml:space="preserve">100 combinations of the frequency, duration, and social companionship dimensions; a random prediction model would have an average probability of correct prediction of the order of 0.01.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051"/>
    <w:multiLevelType w:val="hybridMultilevel"/>
    <w:tmpl w:val="F042A970"/>
    <w:lvl w:ilvl="0" w:tplc="84427B90">
      <w:start w:val="1"/>
      <w:numFmt w:val="bullet"/>
      <w:lvlText w:val=""/>
      <w:lvlJc w:val="left"/>
      <w:pPr>
        <w:ind w:left="124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64328"/>
    <w:multiLevelType w:val="hybridMultilevel"/>
    <w:tmpl w:val="B4689776"/>
    <w:lvl w:ilvl="0" w:tplc="B99E67AA">
      <w:start w:val="1"/>
      <w:numFmt w:val="decimal"/>
      <w:lvlText w:val="%1)"/>
      <w:lvlJc w:val="left"/>
      <w:pPr>
        <w:ind w:left="720" w:hanging="360"/>
      </w:pPr>
      <w:rPr>
        <w:rFonts w:hint="default"/>
      </w:rPr>
    </w:lvl>
    <w:lvl w:ilvl="1" w:tplc="583699E2">
      <w:start w:val="1"/>
      <w:numFmt w:val="lowerLetter"/>
      <w:lvlText w:val="%2."/>
      <w:lvlJc w:val="left"/>
      <w:pPr>
        <w:ind w:left="1440" w:hanging="360"/>
      </w:pPr>
    </w:lvl>
    <w:lvl w:ilvl="2" w:tplc="F43EB68C">
      <w:start w:val="1"/>
      <w:numFmt w:val="lowerRoman"/>
      <w:lvlText w:val="%3."/>
      <w:lvlJc w:val="right"/>
      <w:pPr>
        <w:ind w:left="2160" w:hanging="180"/>
      </w:pPr>
    </w:lvl>
    <w:lvl w:ilvl="3" w:tplc="B9FEC374" w:tentative="1">
      <w:start w:val="1"/>
      <w:numFmt w:val="decimal"/>
      <w:lvlText w:val="%4."/>
      <w:lvlJc w:val="left"/>
      <w:pPr>
        <w:ind w:left="2880" w:hanging="360"/>
      </w:pPr>
    </w:lvl>
    <w:lvl w:ilvl="4" w:tplc="B0E0EF5E" w:tentative="1">
      <w:start w:val="1"/>
      <w:numFmt w:val="lowerLetter"/>
      <w:lvlText w:val="%5."/>
      <w:lvlJc w:val="left"/>
      <w:pPr>
        <w:ind w:left="3600" w:hanging="360"/>
      </w:pPr>
    </w:lvl>
    <w:lvl w:ilvl="5" w:tplc="6D6AD4D0" w:tentative="1">
      <w:start w:val="1"/>
      <w:numFmt w:val="lowerRoman"/>
      <w:lvlText w:val="%6."/>
      <w:lvlJc w:val="right"/>
      <w:pPr>
        <w:ind w:left="4320" w:hanging="180"/>
      </w:pPr>
    </w:lvl>
    <w:lvl w:ilvl="6" w:tplc="EAFEAA76" w:tentative="1">
      <w:start w:val="1"/>
      <w:numFmt w:val="decimal"/>
      <w:lvlText w:val="%7."/>
      <w:lvlJc w:val="left"/>
      <w:pPr>
        <w:ind w:left="5040" w:hanging="360"/>
      </w:pPr>
    </w:lvl>
    <w:lvl w:ilvl="7" w:tplc="02AA8AC8" w:tentative="1">
      <w:start w:val="1"/>
      <w:numFmt w:val="lowerLetter"/>
      <w:lvlText w:val="%8."/>
      <w:lvlJc w:val="left"/>
      <w:pPr>
        <w:ind w:left="5760" w:hanging="360"/>
      </w:pPr>
    </w:lvl>
    <w:lvl w:ilvl="8" w:tplc="A64E91F6" w:tentative="1">
      <w:start w:val="1"/>
      <w:numFmt w:val="lowerRoman"/>
      <w:lvlText w:val="%9."/>
      <w:lvlJc w:val="right"/>
      <w:pPr>
        <w:ind w:left="6480" w:hanging="180"/>
      </w:pPr>
    </w:lvl>
  </w:abstractNum>
  <w:abstractNum w:abstractNumId="2" w15:restartNumberingAfterBreak="0">
    <w:nsid w:val="0FFB3E2C"/>
    <w:multiLevelType w:val="hybridMultilevel"/>
    <w:tmpl w:val="2AB2383A"/>
    <w:lvl w:ilvl="0" w:tplc="84427B90">
      <w:start w:val="1"/>
      <w:numFmt w:val="bullet"/>
      <w:lvlText w:val=""/>
      <w:lvlJc w:val="left"/>
      <w:pPr>
        <w:ind w:left="1242" w:hanging="360"/>
      </w:pPr>
      <w:rPr>
        <w:rFonts w:ascii="Symbol" w:hAnsi="Symbol" w:hint="default"/>
      </w:rPr>
    </w:lvl>
    <w:lvl w:ilvl="1" w:tplc="A9DAB398">
      <w:start w:val="1"/>
      <w:numFmt w:val="bullet"/>
      <w:lvlText w:val="o"/>
      <w:lvlJc w:val="left"/>
      <w:pPr>
        <w:ind w:left="1962" w:hanging="360"/>
      </w:pPr>
      <w:rPr>
        <w:rFonts w:ascii="Courier New" w:hAnsi="Courier New" w:cs="Courier New" w:hint="default"/>
      </w:rPr>
    </w:lvl>
    <w:lvl w:ilvl="2" w:tplc="7FB0FF16" w:tentative="1">
      <w:start w:val="1"/>
      <w:numFmt w:val="bullet"/>
      <w:lvlText w:val=""/>
      <w:lvlJc w:val="left"/>
      <w:pPr>
        <w:ind w:left="2682" w:hanging="360"/>
      </w:pPr>
      <w:rPr>
        <w:rFonts w:ascii="Wingdings" w:hAnsi="Wingdings" w:hint="default"/>
      </w:rPr>
    </w:lvl>
    <w:lvl w:ilvl="3" w:tplc="82B0084E" w:tentative="1">
      <w:start w:val="1"/>
      <w:numFmt w:val="bullet"/>
      <w:lvlText w:val=""/>
      <w:lvlJc w:val="left"/>
      <w:pPr>
        <w:ind w:left="3402" w:hanging="360"/>
      </w:pPr>
      <w:rPr>
        <w:rFonts w:ascii="Symbol" w:hAnsi="Symbol" w:hint="default"/>
      </w:rPr>
    </w:lvl>
    <w:lvl w:ilvl="4" w:tplc="D22EAAA6" w:tentative="1">
      <w:start w:val="1"/>
      <w:numFmt w:val="bullet"/>
      <w:lvlText w:val="o"/>
      <w:lvlJc w:val="left"/>
      <w:pPr>
        <w:ind w:left="4122" w:hanging="360"/>
      </w:pPr>
      <w:rPr>
        <w:rFonts w:ascii="Courier New" w:hAnsi="Courier New" w:cs="Courier New" w:hint="default"/>
      </w:rPr>
    </w:lvl>
    <w:lvl w:ilvl="5" w:tplc="1E9A8552" w:tentative="1">
      <w:start w:val="1"/>
      <w:numFmt w:val="bullet"/>
      <w:lvlText w:val=""/>
      <w:lvlJc w:val="left"/>
      <w:pPr>
        <w:ind w:left="4842" w:hanging="360"/>
      </w:pPr>
      <w:rPr>
        <w:rFonts w:ascii="Wingdings" w:hAnsi="Wingdings" w:hint="default"/>
      </w:rPr>
    </w:lvl>
    <w:lvl w:ilvl="6" w:tplc="1DBCF68A" w:tentative="1">
      <w:start w:val="1"/>
      <w:numFmt w:val="bullet"/>
      <w:lvlText w:val=""/>
      <w:lvlJc w:val="left"/>
      <w:pPr>
        <w:ind w:left="5562" w:hanging="360"/>
      </w:pPr>
      <w:rPr>
        <w:rFonts w:ascii="Symbol" w:hAnsi="Symbol" w:hint="default"/>
      </w:rPr>
    </w:lvl>
    <w:lvl w:ilvl="7" w:tplc="BCC42186" w:tentative="1">
      <w:start w:val="1"/>
      <w:numFmt w:val="bullet"/>
      <w:lvlText w:val="o"/>
      <w:lvlJc w:val="left"/>
      <w:pPr>
        <w:ind w:left="6282" w:hanging="360"/>
      </w:pPr>
      <w:rPr>
        <w:rFonts w:ascii="Courier New" w:hAnsi="Courier New" w:cs="Courier New" w:hint="default"/>
      </w:rPr>
    </w:lvl>
    <w:lvl w:ilvl="8" w:tplc="70A4C752" w:tentative="1">
      <w:start w:val="1"/>
      <w:numFmt w:val="bullet"/>
      <w:lvlText w:val=""/>
      <w:lvlJc w:val="left"/>
      <w:pPr>
        <w:ind w:left="7002" w:hanging="360"/>
      </w:pPr>
      <w:rPr>
        <w:rFonts w:ascii="Wingdings" w:hAnsi="Wingdings" w:hint="default"/>
      </w:rPr>
    </w:lvl>
  </w:abstractNum>
  <w:abstractNum w:abstractNumId="3" w15:restartNumberingAfterBreak="0">
    <w:nsid w:val="1F7C213C"/>
    <w:multiLevelType w:val="hybridMultilevel"/>
    <w:tmpl w:val="77E29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C41F4"/>
    <w:multiLevelType w:val="hybridMultilevel"/>
    <w:tmpl w:val="C770C6FE"/>
    <w:lvl w:ilvl="0" w:tplc="84427B90">
      <w:start w:val="1"/>
      <w:numFmt w:val="bullet"/>
      <w:lvlText w:val=""/>
      <w:lvlJc w:val="left"/>
      <w:pPr>
        <w:ind w:left="124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24451"/>
    <w:multiLevelType w:val="multilevel"/>
    <w:tmpl w:val="3288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D12DE0"/>
    <w:multiLevelType w:val="hybridMultilevel"/>
    <w:tmpl w:val="4A68D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32F32"/>
    <w:multiLevelType w:val="multilevel"/>
    <w:tmpl w:val="45D8E098"/>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4770" w:hanging="360"/>
      </w:pPr>
      <w:rPr>
        <w:lang w:bidi="x-none"/>
        <w:specVanish w:val="0"/>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8032B1C"/>
    <w:multiLevelType w:val="hybridMultilevel"/>
    <w:tmpl w:val="2D94D18E"/>
    <w:lvl w:ilvl="0" w:tplc="74729CC2">
      <w:start w:val="1"/>
      <w:numFmt w:val="bullet"/>
      <w:lvlText w:val=""/>
      <w:lvlJc w:val="left"/>
      <w:pPr>
        <w:ind w:left="720" w:hanging="360"/>
      </w:pPr>
      <w:rPr>
        <w:rFonts w:ascii="Symbol" w:hAnsi="Symbol" w:hint="default"/>
      </w:rPr>
    </w:lvl>
    <w:lvl w:ilvl="1" w:tplc="4D924972" w:tentative="1">
      <w:start w:val="1"/>
      <w:numFmt w:val="bullet"/>
      <w:lvlText w:val="o"/>
      <w:lvlJc w:val="left"/>
      <w:pPr>
        <w:ind w:left="1440" w:hanging="360"/>
      </w:pPr>
      <w:rPr>
        <w:rFonts w:ascii="Courier New" w:hAnsi="Courier New" w:cs="Courier New" w:hint="default"/>
      </w:rPr>
    </w:lvl>
    <w:lvl w:ilvl="2" w:tplc="1E145A12" w:tentative="1">
      <w:start w:val="1"/>
      <w:numFmt w:val="bullet"/>
      <w:lvlText w:val=""/>
      <w:lvlJc w:val="left"/>
      <w:pPr>
        <w:ind w:left="2160" w:hanging="360"/>
      </w:pPr>
      <w:rPr>
        <w:rFonts w:ascii="Wingdings" w:hAnsi="Wingdings" w:hint="default"/>
      </w:rPr>
    </w:lvl>
    <w:lvl w:ilvl="3" w:tplc="D5C45B84" w:tentative="1">
      <w:start w:val="1"/>
      <w:numFmt w:val="bullet"/>
      <w:lvlText w:val=""/>
      <w:lvlJc w:val="left"/>
      <w:pPr>
        <w:ind w:left="2880" w:hanging="360"/>
      </w:pPr>
      <w:rPr>
        <w:rFonts w:ascii="Symbol" w:hAnsi="Symbol" w:hint="default"/>
      </w:rPr>
    </w:lvl>
    <w:lvl w:ilvl="4" w:tplc="5A0879F0" w:tentative="1">
      <w:start w:val="1"/>
      <w:numFmt w:val="bullet"/>
      <w:lvlText w:val="o"/>
      <w:lvlJc w:val="left"/>
      <w:pPr>
        <w:ind w:left="3600" w:hanging="360"/>
      </w:pPr>
      <w:rPr>
        <w:rFonts w:ascii="Courier New" w:hAnsi="Courier New" w:cs="Courier New" w:hint="default"/>
      </w:rPr>
    </w:lvl>
    <w:lvl w:ilvl="5" w:tplc="5B7AD11A" w:tentative="1">
      <w:start w:val="1"/>
      <w:numFmt w:val="bullet"/>
      <w:lvlText w:val=""/>
      <w:lvlJc w:val="left"/>
      <w:pPr>
        <w:ind w:left="4320" w:hanging="360"/>
      </w:pPr>
      <w:rPr>
        <w:rFonts w:ascii="Wingdings" w:hAnsi="Wingdings" w:hint="default"/>
      </w:rPr>
    </w:lvl>
    <w:lvl w:ilvl="6" w:tplc="597409A8" w:tentative="1">
      <w:start w:val="1"/>
      <w:numFmt w:val="bullet"/>
      <w:lvlText w:val=""/>
      <w:lvlJc w:val="left"/>
      <w:pPr>
        <w:ind w:left="5040" w:hanging="360"/>
      </w:pPr>
      <w:rPr>
        <w:rFonts w:ascii="Symbol" w:hAnsi="Symbol" w:hint="default"/>
      </w:rPr>
    </w:lvl>
    <w:lvl w:ilvl="7" w:tplc="D38EB000" w:tentative="1">
      <w:start w:val="1"/>
      <w:numFmt w:val="bullet"/>
      <w:lvlText w:val="o"/>
      <w:lvlJc w:val="left"/>
      <w:pPr>
        <w:ind w:left="5760" w:hanging="360"/>
      </w:pPr>
      <w:rPr>
        <w:rFonts w:ascii="Courier New" w:hAnsi="Courier New" w:cs="Courier New" w:hint="default"/>
      </w:rPr>
    </w:lvl>
    <w:lvl w:ilvl="8" w:tplc="7E16996A" w:tentative="1">
      <w:start w:val="1"/>
      <w:numFmt w:val="bullet"/>
      <w:lvlText w:val=""/>
      <w:lvlJc w:val="left"/>
      <w:pPr>
        <w:ind w:left="6480" w:hanging="360"/>
      </w:pPr>
      <w:rPr>
        <w:rFonts w:ascii="Wingdings" w:hAnsi="Wingdings" w:hint="default"/>
      </w:rPr>
    </w:lvl>
  </w:abstractNum>
  <w:abstractNum w:abstractNumId="9" w15:restartNumberingAfterBreak="0">
    <w:nsid w:val="338A7CA3"/>
    <w:multiLevelType w:val="hybridMultilevel"/>
    <w:tmpl w:val="B08A1F26"/>
    <w:lvl w:ilvl="0" w:tplc="84427B90">
      <w:start w:val="1"/>
      <w:numFmt w:val="bullet"/>
      <w:lvlText w:val=""/>
      <w:lvlJc w:val="left"/>
      <w:pPr>
        <w:ind w:left="124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E51DE"/>
    <w:multiLevelType w:val="multilevel"/>
    <w:tmpl w:val="03FAC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13683B"/>
    <w:multiLevelType w:val="hybridMultilevel"/>
    <w:tmpl w:val="E60258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A76A19"/>
    <w:multiLevelType w:val="hybridMultilevel"/>
    <w:tmpl w:val="B4689776"/>
    <w:lvl w:ilvl="0" w:tplc="59FEBC78">
      <w:start w:val="1"/>
      <w:numFmt w:val="decimal"/>
      <w:lvlText w:val="%1)"/>
      <w:lvlJc w:val="left"/>
      <w:pPr>
        <w:ind w:left="720" w:hanging="360"/>
      </w:pPr>
      <w:rPr>
        <w:rFonts w:hint="default"/>
      </w:rPr>
    </w:lvl>
    <w:lvl w:ilvl="1" w:tplc="C7106534">
      <w:start w:val="1"/>
      <w:numFmt w:val="lowerLetter"/>
      <w:lvlText w:val="%2."/>
      <w:lvlJc w:val="left"/>
      <w:pPr>
        <w:ind w:left="1440" w:hanging="360"/>
      </w:pPr>
    </w:lvl>
    <w:lvl w:ilvl="2" w:tplc="DE16A72C">
      <w:start w:val="1"/>
      <w:numFmt w:val="lowerRoman"/>
      <w:lvlText w:val="%3."/>
      <w:lvlJc w:val="right"/>
      <w:pPr>
        <w:ind w:left="2160" w:hanging="180"/>
      </w:pPr>
    </w:lvl>
    <w:lvl w:ilvl="3" w:tplc="F4B6835A" w:tentative="1">
      <w:start w:val="1"/>
      <w:numFmt w:val="decimal"/>
      <w:lvlText w:val="%4."/>
      <w:lvlJc w:val="left"/>
      <w:pPr>
        <w:ind w:left="2880" w:hanging="360"/>
      </w:pPr>
    </w:lvl>
    <w:lvl w:ilvl="4" w:tplc="A860EA54" w:tentative="1">
      <w:start w:val="1"/>
      <w:numFmt w:val="lowerLetter"/>
      <w:lvlText w:val="%5."/>
      <w:lvlJc w:val="left"/>
      <w:pPr>
        <w:ind w:left="3600" w:hanging="360"/>
      </w:pPr>
    </w:lvl>
    <w:lvl w:ilvl="5" w:tplc="468E1F12" w:tentative="1">
      <w:start w:val="1"/>
      <w:numFmt w:val="lowerRoman"/>
      <w:lvlText w:val="%6."/>
      <w:lvlJc w:val="right"/>
      <w:pPr>
        <w:ind w:left="4320" w:hanging="180"/>
      </w:pPr>
    </w:lvl>
    <w:lvl w:ilvl="6" w:tplc="3D101948" w:tentative="1">
      <w:start w:val="1"/>
      <w:numFmt w:val="decimal"/>
      <w:lvlText w:val="%7."/>
      <w:lvlJc w:val="left"/>
      <w:pPr>
        <w:ind w:left="5040" w:hanging="360"/>
      </w:pPr>
    </w:lvl>
    <w:lvl w:ilvl="7" w:tplc="1E7E4182" w:tentative="1">
      <w:start w:val="1"/>
      <w:numFmt w:val="lowerLetter"/>
      <w:lvlText w:val="%8."/>
      <w:lvlJc w:val="left"/>
      <w:pPr>
        <w:ind w:left="5760" w:hanging="360"/>
      </w:pPr>
    </w:lvl>
    <w:lvl w:ilvl="8" w:tplc="A1F0FA1C" w:tentative="1">
      <w:start w:val="1"/>
      <w:numFmt w:val="lowerRoman"/>
      <w:lvlText w:val="%9."/>
      <w:lvlJc w:val="right"/>
      <w:pPr>
        <w:ind w:left="6480" w:hanging="180"/>
      </w:pPr>
    </w:lvl>
  </w:abstractNum>
  <w:abstractNum w:abstractNumId="13" w15:restartNumberingAfterBreak="0">
    <w:nsid w:val="3C833C3C"/>
    <w:multiLevelType w:val="hybridMultilevel"/>
    <w:tmpl w:val="9ADEAC2E"/>
    <w:lvl w:ilvl="0" w:tplc="D766E7D6">
      <w:start w:val="6"/>
      <w:numFmt w:val="bullet"/>
      <w:lvlText w:val="*"/>
      <w:lvlJc w:val="left"/>
      <w:pPr>
        <w:ind w:left="510" w:hanging="360"/>
      </w:pPr>
      <w:rPr>
        <w:rFonts w:ascii="Times New Roman" w:eastAsia="Times"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4" w15:restartNumberingAfterBreak="0">
    <w:nsid w:val="3CAA006B"/>
    <w:multiLevelType w:val="hybridMultilevel"/>
    <w:tmpl w:val="722EDF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3A2F6B"/>
    <w:multiLevelType w:val="hybridMultilevel"/>
    <w:tmpl w:val="9252F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3B3E79"/>
    <w:multiLevelType w:val="hybridMultilevel"/>
    <w:tmpl w:val="E2A2EF54"/>
    <w:lvl w:ilvl="0" w:tplc="96EEBBAA">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8F2E7B"/>
    <w:multiLevelType w:val="hybridMultilevel"/>
    <w:tmpl w:val="D8A4A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A82797"/>
    <w:multiLevelType w:val="hybridMultilevel"/>
    <w:tmpl w:val="25269F7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9" w15:restartNumberingAfterBreak="0">
    <w:nsid w:val="5F272DDB"/>
    <w:multiLevelType w:val="hybridMultilevel"/>
    <w:tmpl w:val="D626EEDA"/>
    <w:lvl w:ilvl="0" w:tplc="D766E7D6">
      <w:start w:val="6"/>
      <w:numFmt w:val="bullet"/>
      <w:lvlText w:val="*"/>
      <w:lvlJc w:val="left"/>
      <w:pPr>
        <w:ind w:left="51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FC5D27"/>
    <w:multiLevelType w:val="hybridMultilevel"/>
    <w:tmpl w:val="B9EE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856EF1"/>
    <w:multiLevelType w:val="hybridMultilevel"/>
    <w:tmpl w:val="41164866"/>
    <w:lvl w:ilvl="0" w:tplc="84427B90">
      <w:start w:val="1"/>
      <w:numFmt w:val="bullet"/>
      <w:lvlText w:val=""/>
      <w:lvlJc w:val="left"/>
      <w:pPr>
        <w:ind w:left="124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5819EF"/>
    <w:multiLevelType w:val="hybridMultilevel"/>
    <w:tmpl w:val="4920A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E67BF5"/>
    <w:multiLevelType w:val="hybridMultilevel"/>
    <w:tmpl w:val="791464F0"/>
    <w:lvl w:ilvl="0" w:tplc="84427B90">
      <w:start w:val="1"/>
      <w:numFmt w:val="bullet"/>
      <w:lvlText w:val=""/>
      <w:lvlJc w:val="left"/>
      <w:pPr>
        <w:ind w:left="124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207E9B"/>
    <w:multiLevelType w:val="hybridMultilevel"/>
    <w:tmpl w:val="B6603350"/>
    <w:lvl w:ilvl="0" w:tplc="84427B90">
      <w:start w:val="1"/>
      <w:numFmt w:val="bullet"/>
      <w:lvlText w:val=""/>
      <w:lvlJc w:val="left"/>
      <w:pPr>
        <w:ind w:left="124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24344D"/>
    <w:multiLevelType w:val="hybridMultilevel"/>
    <w:tmpl w:val="422E41FC"/>
    <w:lvl w:ilvl="0" w:tplc="84427B90">
      <w:start w:val="1"/>
      <w:numFmt w:val="bullet"/>
      <w:lvlText w:val=""/>
      <w:lvlJc w:val="left"/>
      <w:pPr>
        <w:ind w:left="124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273989"/>
    <w:multiLevelType w:val="hybridMultilevel"/>
    <w:tmpl w:val="62A03388"/>
    <w:lvl w:ilvl="0" w:tplc="84E6D48A">
      <w:start w:val="1"/>
      <w:numFmt w:val="bullet"/>
      <w:lvlText w:val=""/>
      <w:lvlJc w:val="left"/>
      <w:pPr>
        <w:ind w:left="720" w:hanging="360"/>
      </w:pPr>
      <w:rPr>
        <w:rFonts w:ascii="Symbol" w:hAnsi="Symbol" w:hint="default"/>
      </w:rPr>
    </w:lvl>
    <w:lvl w:ilvl="1" w:tplc="55CA8224" w:tentative="1">
      <w:start w:val="1"/>
      <w:numFmt w:val="bullet"/>
      <w:lvlText w:val="o"/>
      <w:lvlJc w:val="left"/>
      <w:pPr>
        <w:ind w:left="1440" w:hanging="360"/>
      </w:pPr>
      <w:rPr>
        <w:rFonts w:ascii="Courier New" w:hAnsi="Courier New" w:cs="Courier New" w:hint="default"/>
      </w:rPr>
    </w:lvl>
    <w:lvl w:ilvl="2" w:tplc="FC2CEEC6" w:tentative="1">
      <w:start w:val="1"/>
      <w:numFmt w:val="bullet"/>
      <w:lvlText w:val=""/>
      <w:lvlJc w:val="left"/>
      <w:pPr>
        <w:ind w:left="2160" w:hanging="360"/>
      </w:pPr>
      <w:rPr>
        <w:rFonts w:ascii="Wingdings" w:hAnsi="Wingdings" w:hint="default"/>
      </w:rPr>
    </w:lvl>
    <w:lvl w:ilvl="3" w:tplc="A0F0A026" w:tentative="1">
      <w:start w:val="1"/>
      <w:numFmt w:val="bullet"/>
      <w:lvlText w:val=""/>
      <w:lvlJc w:val="left"/>
      <w:pPr>
        <w:ind w:left="2880" w:hanging="360"/>
      </w:pPr>
      <w:rPr>
        <w:rFonts w:ascii="Symbol" w:hAnsi="Symbol" w:hint="default"/>
      </w:rPr>
    </w:lvl>
    <w:lvl w:ilvl="4" w:tplc="7BCE2B72" w:tentative="1">
      <w:start w:val="1"/>
      <w:numFmt w:val="bullet"/>
      <w:lvlText w:val="o"/>
      <w:lvlJc w:val="left"/>
      <w:pPr>
        <w:ind w:left="3600" w:hanging="360"/>
      </w:pPr>
      <w:rPr>
        <w:rFonts w:ascii="Courier New" w:hAnsi="Courier New" w:cs="Courier New" w:hint="default"/>
      </w:rPr>
    </w:lvl>
    <w:lvl w:ilvl="5" w:tplc="38ACAC3E" w:tentative="1">
      <w:start w:val="1"/>
      <w:numFmt w:val="bullet"/>
      <w:lvlText w:val=""/>
      <w:lvlJc w:val="left"/>
      <w:pPr>
        <w:ind w:left="4320" w:hanging="360"/>
      </w:pPr>
      <w:rPr>
        <w:rFonts w:ascii="Wingdings" w:hAnsi="Wingdings" w:hint="default"/>
      </w:rPr>
    </w:lvl>
    <w:lvl w:ilvl="6" w:tplc="68B20BC2" w:tentative="1">
      <w:start w:val="1"/>
      <w:numFmt w:val="bullet"/>
      <w:lvlText w:val=""/>
      <w:lvlJc w:val="left"/>
      <w:pPr>
        <w:ind w:left="5040" w:hanging="360"/>
      </w:pPr>
      <w:rPr>
        <w:rFonts w:ascii="Symbol" w:hAnsi="Symbol" w:hint="default"/>
      </w:rPr>
    </w:lvl>
    <w:lvl w:ilvl="7" w:tplc="503A2BD4" w:tentative="1">
      <w:start w:val="1"/>
      <w:numFmt w:val="bullet"/>
      <w:lvlText w:val="o"/>
      <w:lvlJc w:val="left"/>
      <w:pPr>
        <w:ind w:left="5760" w:hanging="360"/>
      </w:pPr>
      <w:rPr>
        <w:rFonts w:ascii="Courier New" w:hAnsi="Courier New" w:cs="Courier New" w:hint="default"/>
      </w:rPr>
    </w:lvl>
    <w:lvl w:ilvl="8" w:tplc="DD5A5366" w:tentative="1">
      <w:start w:val="1"/>
      <w:numFmt w:val="bullet"/>
      <w:lvlText w:val=""/>
      <w:lvlJc w:val="left"/>
      <w:pPr>
        <w:ind w:left="6480" w:hanging="360"/>
      </w:pPr>
      <w:rPr>
        <w:rFonts w:ascii="Wingdings" w:hAnsi="Wingdings" w:hint="default"/>
      </w:rPr>
    </w:lvl>
  </w:abstractNum>
  <w:abstractNum w:abstractNumId="27" w15:restartNumberingAfterBreak="0">
    <w:nsid w:val="74CA485B"/>
    <w:multiLevelType w:val="hybridMultilevel"/>
    <w:tmpl w:val="201074DE"/>
    <w:lvl w:ilvl="0" w:tplc="84427B90">
      <w:start w:val="1"/>
      <w:numFmt w:val="bullet"/>
      <w:lvlText w:val=""/>
      <w:lvlJc w:val="left"/>
      <w:pPr>
        <w:ind w:left="124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5A12C9"/>
    <w:multiLevelType w:val="hybridMultilevel"/>
    <w:tmpl w:val="94D06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1272D8"/>
    <w:multiLevelType w:val="hybridMultilevel"/>
    <w:tmpl w:val="412A7640"/>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DB3BBE"/>
    <w:multiLevelType w:val="multilevel"/>
    <w:tmpl w:val="37E2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
  </w:num>
  <w:num w:numId="3">
    <w:abstractNumId w:val="26"/>
  </w:num>
  <w:num w:numId="4">
    <w:abstractNumId w:val="8"/>
  </w:num>
  <w:num w:numId="5">
    <w:abstractNumId w:val="7"/>
  </w:num>
  <w:num w:numId="6">
    <w:abstractNumId w:val="2"/>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0"/>
  </w:num>
  <w:num w:numId="15">
    <w:abstractNumId w:val="22"/>
  </w:num>
  <w:num w:numId="16">
    <w:abstractNumId w:val="3"/>
  </w:num>
  <w:num w:numId="17">
    <w:abstractNumId w:val="15"/>
  </w:num>
  <w:num w:numId="18">
    <w:abstractNumId w:val="9"/>
  </w:num>
  <w:num w:numId="19">
    <w:abstractNumId w:val="4"/>
  </w:num>
  <w:num w:numId="20">
    <w:abstractNumId w:val="24"/>
  </w:num>
  <w:num w:numId="21">
    <w:abstractNumId w:val="23"/>
  </w:num>
  <w:num w:numId="22">
    <w:abstractNumId w:val="0"/>
  </w:num>
  <w:num w:numId="23">
    <w:abstractNumId w:val="27"/>
  </w:num>
  <w:num w:numId="24">
    <w:abstractNumId w:val="25"/>
  </w:num>
  <w:num w:numId="25">
    <w:abstractNumId w:val="21"/>
  </w:num>
  <w:num w:numId="26">
    <w:abstractNumId w:val="13"/>
  </w:num>
  <w:num w:numId="27">
    <w:abstractNumId w:val="19"/>
  </w:num>
  <w:num w:numId="28">
    <w:abstractNumId w:val="29"/>
  </w:num>
  <w:num w:numId="29">
    <w:abstractNumId w:val="17"/>
  </w:num>
  <w:num w:numId="30">
    <w:abstractNumId w:val="11"/>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4"/>
  </w:num>
  <w:num w:numId="34">
    <w:abstractNumId w:val="18"/>
  </w:num>
  <w:num w:numId="35">
    <w:abstractNumId w:val="28"/>
  </w:num>
  <w:num w:numId="36">
    <w:abstractNumId w:val="5"/>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2MzE0sDCwMDE3NzdT0lEKTi0uzszPAykwNK0FAPJxiVQtAAAA"/>
  </w:docVars>
  <w:rsids>
    <w:rsidRoot w:val="007B2B5E"/>
    <w:rsid w:val="00000B70"/>
    <w:rsid w:val="000019E2"/>
    <w:rsid w:val="00001AF5"/>
    <w:rsid w:val="00002864"/>
    <w:rsid w:val="00002A6A"/>
    <w:rsid w:val="00002C60"/>
    <w:rsid w:val="00002FBD"/>
    <w:rsid w:val="00004CE7"/>
    <w:rsid w:val="00004FBD"/>
    <w:rsid w:val="00006599"/>
    <w:rsid w:val="00006F52"/>
    <w:rsid w:val="00006FF6"/>
    <w:rsid w:val="000071A0"/>
    <w:rsid w:val="00007E71"/>
    <w:rsid w:val="000111D2"/>
    <w:rsid w:val="0001143D"/>
    <w:rsid w:val="00011586"/>
    <w:rsid w:val="00011B07"/>
    <w:rsid w:val="00012E87"/>
    <w:rsid w:val="00013084"/>
    <w:rsid w:val="000135F9"/>
    <w:rsid w:val="00013C2D"/>
    <w:rsid w:val="00014493"/>
    <w:rsid w:val="000148DB"/>
    <w:rsid w:val="00014E59"/>
    <w:rsid w:val="00015C2F"/>
    <w:rsid w:val="0001713A"/>
    <w:rsid w:val="00017518"/>
    <w:rsid w:val="00017C25"/>
    <w:rsid w:val="000201A5"/>
    <w:rsid w:val="000209C4"/>
    <w:rsid w:val="0002154A"/>
    <w:rsid w:val="00022163"/>
    <w:rsid w:val="00022491"/>
    <w:rsid w:val="0002278A"/>
    <w:rsid w:val="00022EAC"/>
    <w:rsid w:val="00023565"/>
    <w:rsid w:val="000246F7"/>
    <w:rsid w:val="00025738"/>
    <w:rsid w:val="00025D34"/>
    <w:rsid w:val="000260B0"/>
    <w:rsid w:val="000264D8"/>
    <w:rsid w:val="000266E0"/>
    <w:rsid w:val="000310F6"/>
    <w:rsid w:val="00031E82"/>
    <w:rsid w:val="00032371"/>
    <w:rsid w:val="00032C90"/>
    <w:rsid w:val="00032D57"/>
    <w:rsid w:val="00033885"/>
    <w:rsid w:val="00034669"/>
    <w:rsid w:val="0003479D"/>
    <w:rsid w:val="00035654"/>
    <w:rsid w:val="000359C8"/>
    <w:rsid w:val="000377AC"/>
    <w:rsid w:val="00040710"/>
    <w:rsid w:val="000414E6"/>
    <w:rsid w:val="0004155E"/>
    <w:rsid w:val="00041575"/>
    <w:rsid w:val="000421EF"/>
    <w:rsid w:val="00042586"/>
    <w:rsid w:val="00042683"/>
    <w:rsid w:val="00042C01"/>
    <w:rsid w:val="00042FB2"/>
    <w:rsid w:val="000438C0"/>
    <w:rsid w:val="00043B7C"/>
    <w:rsid w:val="00045030"/>
    <w:rsid w:val="00046261"/>
    <w:rsid w:val="00046D90"/>
    <w:rsid w:val="00046FD2"/>
    <w:rsid w:val="000472B3"/>
    <w:rsid w:val="00047DA0"/>
    <w:rsid w:val="00047DCC"/>
    <w:rsid w:val="00050249"/>
    <w:rsid w:val="00050DDD"/>
    <w:rsid w:val="00051470"/>
    <w:rsid w:val="00051AC1"/>
    <w:rsid w:val="00052663"/>
    <w:rsid w:val="00052B96"/>
    <w:rsid w:val="00053F95"/>
    <w:rsid w:val="0005414E"/>
    <w:rsid w:val="0005439F"/>
    <w:rsid w:val="0005498E"/>
    <w:rsid w:val="00055425"/>
    <w:rsid w:val="000556AB"/>
    <w:rsid w:val="00056282"/>
    <w:rsid w:val="00056543"/>
    <w:rsid w:val="000567F8"/>
    <w:rsid w:val="00056D31"/>
    <w:rsid w:val="000579F3"/>
    <w:rsid w:val="00057BAA"/>
    <w:rsid w:val="00057C87"/>
    <w:rsid w:val="0006059F"/>
    <w:rsid w:val="00060C29"/>
    <w:rsid w:val="00060DF7"/>
    <w:rsid w:val="00061654"/>
    <w:rsid w:val="00062FFF"/>
    <w:rsid w:val="0006360A"/>
    <w:rsid w:val="0006379F"/>
    <w:rsid w:val="0006405F"/>
    <w:rsid w:val="00064273"/>
    <w:rsid w:val="00065655"/>
    <w:rsid w:val="000659F5"/>
    <w:rsid w:val="00065F3C"/>
    <w:rsid w:val="00066BFC"/>
    <w:rsid w:val="000671AC"/>
    <w:rsid w:val="00067B39"/>
    <w:rsid w:val="00070FA5"/>
    <w:rsid w:val="0007156B"/>
    <w:rsid w:val="00071652"/>
    <w:rsid w:val="00072135"/>
    <w:rsid w:val="00072180"/>
    <w:rsid w:val="00072B08"/>
    <w:rsid w:val="00073F15"/>
    <w:rsid w:val="00074742"/>
    <w:rsid w:val="00074B40"/>
    <w:rsid w:val="00074FC0"/>
    <w:rsid w:val="00075D6D"/>
    <w:rsid w:val="00075F17"/>
    <w:rsid w:val="00075F95"/>
    <w:rsid w:val="00076A0E"/>
    <w:rsid w:val="00076CC5"/>
    <w:rsid w:val="000776E8"/>
    <w:rsid w:val="000778A5"/>
    <w:rsid w:val="000778D3"/>
    <w:rsid w:val="00080216"/>
    <w:rsid w:val="00080A0E"/>
    <w:rsid w:val="00080BA9"/>
    <w:rsid w:val="000810C0"/>
    <w:rsid w:val="0008123C"/>
    <w:rsid w:val="0008194A"/>
    <w:rsid w:val="00082743"/>
    <w:rsid w:val="00083362"/>
    <w:rsid w:val="0008348F"/>
    <w:rsid w:val="00083BB9"/>
    <w:rsid w:val="00083EE2"/>
    <w:rsid w:val="0008533A"/>
    <w:rsid w:val="000854BC"/>
    <w:rsid w:val="00085619"/>
    <w:rsid w:val="0008595C"/>
    <w:rsid w:val="00085A8A"/>
    <w:rsid w:val="00087766"/>
    <w:rsid w:val="00090759"/>
    <w:rsid w:val="00090793"/>
    <w:rsid w:val="00090E68"/>
    <w:rsid w:val="0009107F"/>
    <w:rsid w:val="0009134F"/>
    <w:rsid w:val="0009172D"/>
    <w:rsid w:val="00092687"/>
    <w:rsid w:val="00093636"/>
    <w:rsid w:val="000940D5"/>
    <w:rsid w:val="000944B1"/>
    <w:rsid w:val="00094797"/>
    <w:rsid w:val="00094816"/>
    <w:rsid w:val="000956E6"/>
    <w:rsid w:val="0009573A"/>
    <w:rsid w:val="000957D1"/>
    <w:rsid w:val="00095AC2"/>
    <w:rsid w:val="00095F9C"/>
    <w:rsid w:val="00096BAF"/>
    <w:rsid w:val="00096E03"/>
    <w:rsid w:val="0009721B"/>
    <w:rsid w:val="00097461"/>
    <w:rsid w:val="000979C9"/>
    <w:rsid w:val="000A05CC"/>
    <w:rsid w:val="000A090F"/>
    <w:rsid w:val="000A09E8"/>
    <w:rsid w:val="000A15BB"/>
    <w:rsid w:val="000A16FF"/>
    <w:rsid w:val="000A1ADF"/>
    <w:rsid w:val="000A1C26"/>
    <w:rsid w:val="000A35EA"/>
    <w:rsid w:val="000A36C6"/>
    <w:rsid w:val="000A3B0E"/>
    <w:rsid w:val="000A4087"/>
    <w:rsid w:val="000A5540"/>
    <w:rsid w:val="000A58E8"/>
    <w:rsid w:val="000A5FCD"/>
    <w:rsid w:val="000A67BD"/>
    <w:rsid w:val="000A6987"/>
    <w:rsid w:val="000A6CC8"/>
    <w:rsid w:val="000A72D2"/>
    <w:rsid w:val="000A7EC2"/>
    <w:rsid w:val="000B08A8"/>
    <w:rsid w:val="000B0B0A"/>
    <w:rsid w:val="000B0B8A"/>
    <w:rsid w:val="000B0E86"/>
    <w:rsid w:val="000B0F36"/>
    <w:rsid w:val="000B1340"/>
    <w:rsid w:val="000B16BC"/>
    <w:rsid w:val="000B1A67"/>
    <w:rsid w:val="000B1E22"/>
    <w:rsid w:val="000B1F27"/>
    <w:rsid w:val="000B2B2D"/>
    <w:rsid w:val="000B2C30"/>
    <w:rsid w:val="000B30CB"/>
    <w:rsid w:val="000B406A"/>
    <w:rsid w:val="000B42DF"/>
    <w:rsid w:val="000B46A9"/>
    <w:rsid w:val="000B52CF"/>
    <w:rsid w:val="000B6BA2"/>
    <w:rsid w:val="000B6F74"/>
    <w:rsid w:val="000B709A"/>
    <w:rsid w:val="000B7687"/>
    <w:rsid w:val="000B76A2"/>
    <w:rsid w:val="000B7D28"/>
    <w:rsid w:val="000C0062"/>
    <w:rsid w:val="000C26E8"/>
    <w:rsid w:val="000C309B"/>
    <w:rsid w:val="000C36F4"/>
    <w:rsid w:val="000C3D37"/>
    <w:rsid w:val="000C4C1C"/>
    <w:rsid w:val="000C6257"/>
    <w:rsid w:val="000C7F4E"/>
    <w:rsid w:val="000D147D"/>
    <w:rsid w:val="000D26F7"/>
    <w:rsid w:val="000D3498"/>
    <w:rsid w:val="000D3901"/>
    <w:rsid w:val="000D4062"/>
    <w:rsid w:val="000D46F1"/>
    <w:rsid w:val="000D48E3"/>
    <w:rsid w:val="000D4F64"/>
    <w:rsid w:val="000D5286"/>
    <w:rsid w:val="000D5356"/>
    <w:rsid w:val="000D5367"/>
    <w:rsid w:val="000D6331"/>
    <w:rsid w:val="000D6813"/>
    <w:rsid w:val="000D6C57"/>
    <w:rsid w:val="000D6F1B"/>
    <w:rsid w:val="000D7FD4"/>
    <w:rsid w:val="000E02AB"/>
    <w:rsid w:val="000E05AC"/>
    <w:rsid w:val="000E0831"/>
    <w:rsid w:val="000E0939"/>
    <w:rsid w:val="000E0D4F"/>
    <w:rsid w:val="000E0D83"/>
    <w:rsid w:val="000E18FB"/>
    <w:rsid w:val="000E2265"/>
    <w:rsid w:val="000E24C8"/>
    <w:rsid w:val="000E2D7B"/>
    <w:rsid w:val="000E32C1"/>
    <w:rsid w:val="000E3CA4"/>
    <w:rsid w:val="000E3E78"/>
    <w:rsid w:val="000E467F"/>
    <w:rsid w:val="000E499F"/>
    <w:rsid w:val="000E5714"/>
    <w:rsid w:val="000E6132"/>
    <w:rsid w:val="000E665D"/>
    <w:rsid w:val="000E6840"/>
    <w:rsid w:val="000E6874"/>
    <w:rsid w:val="000E6925"/>
    <w:rsid w:val="000E6A66"/>
    <w:rsid w:val="000E7338"/>
    <w:rsid w:val="000E7A31"/>
    <w:rsid w:val="000E7C87"/>
    <w:rsid w:val="000E7EE3"/>
    <w:rsid w:val="000F17D6"/>
    <w:rsid w:val="000F1DE0"/>
    <w:rsid w:val="000F2B98"/>
    <w:rsid w:val="000F3878"/>
    <w:rsid w:val="000F3AF9"/>
    <w:rsid w:val="000F4719"/>
    <w:rsid w:val="000F4A2E"/>
    <w:rsid w:val="000F4AC8"/>
    <w:rsid w:val="000F4BDD"/>
    <w:rsid w:val="000F5261"/>
    <w:rsid w:val="000F594A"/>
    <w:rsid w:val="000F5D41"/>
    <w:rsid w:val="000F630D"/>
    <w:rsid w:val="000F739A"/>
    <w:rsid w:val="000F73C7"/>
    <w:rsid w:val="000F75EE"/>
    <w:rsid w:val="000F7A78"/>
    <w:rsid w:val="00100C51"/>
    <w:rsid w:val="00100DEB"/>
    <w:rsid w:val="00101077"/>
    <w:rsid w:val="001013DD"/>
    <w:rsid w:val="0010210E"/>
    <w:rsid w:val="0010263D"/>
    <w:rsid w:val="00102BD8"/>
    <w:rsid w:val="00102EE7"/>
    <w:rsid w:val="001046F2"/>
    <w:rsid w:val="00105360"/>
    <w:rsid w:val="001055FC"/>
    <w:rsid w:val="001057B8"/>
    <w:rsid w:val="00106A1D"/>
    <w:rsid w:val="0010719B"/>
    <w:rsid w:val="00107A78"/>
    <w:rsid w:val="001102CC"/>
    <w:rsid w:val="00110614"/>
    <w:rsid w:val="00110EA2"/>
    <w:rsid w:val="001113CB"/>
    <w:rsid w:val="001113D4"/>
    <w:rsid w:val="00112617"/>
    <w:rsid w:val="00113330"/>
    <w:rsid w:val="001151B3"/>
    <w:rsid w:val="001156F7"/>
    <w:rsid w:val="00115787"/>
    <w:rsid w:val="0011589E"/>
    <w:rsid w:val="00115B78"/>
    <w:rsid w:val="00116169"/>
    <w:rsid w:val="00116361"/>
    <w:rsid w:val="0011651A"/>
    <w:rsid w:val="00116C09"/>
    <w:rsid w:val="00116D17"/>
    <w:rsid w:val="00117241"/>
    <w:rsid w:val="001177E8"/>
    <w:rsid w:val="00120820"/>
    <w:rsid w:val="001211AF"/>
    <w:rsid w:val="001213B7"/>
    <w:rsid w:val="00121976"/>
    <w:rsid w:val="00121DC9"/>
    <w:rsid w:val="0012215C"/>
    <w:rsid w:val="001230D4"/>
    <w:rsid w:val="00123196"/>
    <w:rsid w:val="0012347C"/>
    <w:rsid w:val="001235FB"/>
    <w:rsid w:val="001236B9"/>
    <w:rsid w:val="0012382C"/>
    <w:rsid w:val="00123899"/>
    <w:rsid w:val="00123948"/>
    <w:rsid w:val="00123997"/>
    <w:rsid w:val="00124012"/>
    <w:rsid w:val="00124153"/>
    <w:rsid w:val="00124281"/>
    <w:rsid w:val="00124817"/>
    <w:rsid w:val="0012490E"/>
    <w:rsid w:val="001249CE"/>
    <w:rsid w:val="0012510C"/>
    <w:rsid w:val="00125B58"/>
    <w:rsid w:val="001263FD"/>
    <w:rsid w:val="00126528"/>
    <w:rsid w:val="0012664D"/>
    <w:rsid w:val="00127C33"/>
    <w:rsid w:val="001302E8"/>
    <w:rsid w:val="00130D33"/>
    <w:rsid w:val="001310F7"/>
    <w:rsid w:val="0013158F"/>
    <w:rsid w:val="0013180E"/>
    <w:rsid w:val="00131C9C"/>
    <w:rsid w:val="00131DB5"/>
    <w:rsid w:val="001320F9"/>
    <w:rsid w:val="00132C55"/>
    <w:rsid w:val="001330D1"/>
    <w:rsid w:val="00133630"/>
    <w:rsid w:val="0013383E"/>
    <w:rsid w:val="00134666"/>
    <w:rsid w:val="00134B6D"/>
    <w:rsid w:val="00134C35"/>
    <w:rsid w:val="001356FE"/>
    <w:rsid w:val="00135C3C"/>
    <w:rsid w:val="00135C76"/>
    <w:rsid w:val="00135DB2"/>
    <w:rsid w:val="00137651"/>
    <w:rsid w:val="0013798C"/>
    <w:rsid w:val="00137F85"/>
    <w:rsid w:val="001404F8"/>
    <w:rsid w:val="001415C2"/>
    <w:rsid w:val="00141DA5"/>
    <w:rsid w:val="00142AA6"/>
    <w:rsid w:val="00143523"/>
    <w:rsid w:val="001451D8"/>
    <w:rsid w:val="0014542F"/>
    <w:rsid w:val="00145D50"/>
    <w:rsid w:val="0014658B"/>
    <w:rsid w:val="00146B64"/>
    <w:rsid w:val="00146D20"/>
    <w:rsid w:val="00147A18"/>
    <w:rsid w:val="00147A88"/>
    <w:rsid w:val="00147BCA"/>
    <w:rsid w:val="0015066F"/>
    <w:rsid w:val="00150B38"/>
    <w:rsid w:val="00151276"/>
    <w:rsid w:val="001521B9"/>
    <w:rsid w:val="001525F9"/>
    <w:rsid w:val="0015291E"/>
    <w:rsid w:val="00152E26"/>
    <w:rsid w:val="00152F8C"/>
    <w:rsid w:val="00153043"/>
    <w:rsid w:val="00153545"/>
    <w:rsid w:val="00154128"/>
    <w:rsid w:val="001541CA"/>
    <w:rsid w:val="00154225"/>
    <w:rsid w:val="00154932"/>
    <w:rsid w:val="00154B73"/>
    <w:rsid w:val="00154DD5"/>
    <w:rsid w:val="00155152"/>
    <w:rsid w:val="001558D7"/>
    <w:rsid w:val="00156652"/>
    <w:rsid w:val="0015667B"/>
    <w:rsid w:val="001566C0"/>
    <w:rsid w:val="00156C80"/>
    <w:rsid w:val="001572DB"/>
    <w:rsid w:val="00157EA2"/>
    <w:rsid w:val="00160175"/>
    <w:rsid w:val="00160974"/>
    <w:rsid w:val="00161B54"/>
    <w:rsid w:val="00163211"/>
    <w:rsid w:val="00163DC7"/>
    <w:rsid w:val="00163E61"/>
    <w:rsid w:val="0016417C"/>
    <w:rsid w:val="001652B2"/>
    <w:rsid w:val="001652C3"/>
    <w:rsid w:val="001661F5"/>
    <w:rsid w:val="001667F9"/>
    <w:rsid w:val="00170283"/>
    <w:rsid w:val="001707FC"/>
    <w:rsid w:val="0017087E"/>
    <w:rsid w:val="00170B5D"/>
    <w:rsid w:val="00170ED8"/>
    <w:rsid w:val="001715E3"/>
    <w:rsid w:val="00171BE0"/>
    <w:rsid w:val="00171CB1"/>
    <w:rsid w:val="001728AB"/>
    <w:rsid w:val="00172BEE"/>
    <w:rsid w:val="00172E3C"/>
    <w:rsid w:val="00172E5C"/>
    <w:rsid w:val="0017308B"/>
    <w:rsid w:val="0017394C"/>
    <w:rsid w:val="00173F50"/>
    <w:rsid w:val="00175425"/>
    <w:rsid w:val="001760E0"/>
    <w:rsid w:val="00177534"/>
    <w:rsid w:val="00177866"/>
    <w:rsid w:val="0018090C"/>
    <w:rsid w:val="00180D3F"/>
    <w:rsid w:val="001819E7"/>
    <w:rsid w:val="00181E31"/>
    <w:rsid w:val="0018202C"/>
    <w:rsid w:val="001820F2"/>
    <w:rsid w:val="00182363"/>
    <w:rsid w:val="00182F15"/>
    <w:rsid w:val="0018427F"/>
    <w:rsid w:val="001850AE"/>
    <w:rsid w:val="00185FC5"/>
    <w:rsid w:val="00186597"/>
    <w:rsid w:val="0018681B"/>
    <w:rsid w:val="00186CCE"/>
    <w:rsid w:val="00187150"/>
    <w:rsid w:val="0018744A"/>
    <w:rsid w:val="00187590"/>
    <w:rsid w:val="00187997"/>
    <w:rsid w:val="001901BE"/>
    <w:rsid w:val="00190983"/>
    <w:rsid w:val="00190C0A"/>
    <w:rsid w:val="00190FE2"/>
    <w:rsid w:val="0019139A"/>
    <w:rsid w:val="0019169D"/>
    <w:rsid w:val="0019174D"/>
    <w:rsid w:val="001922F6"/>
    <w:rsid w:val="00192AD4"/>
    <w:rsid w:val="00192CE5"/>
    <w:rsid w:val="0019301A"/>
    <w:rsid w:val="00194079"/>
    <w:rsid w:val="001946BD"/>
    <w:rsid w:val="001948E5"/>
    <w:rsid w:val="001952A0"/>
    <w:rsid w:val="00195B61"/>
    <w:rsid w:val="00196223"/>
    <w:rsid w:val="0019775C"/>
    <w:rsid w:val="0019787C"/>
    <w:rsid w:val="00197A5A"/>
    <w:rsid w:val="001A015E"/>
    <w:rsid w:val="001A022C"/>
    <w:rsid w:val="001A06B9"/>
    <w:rsid w:val="001A1705"/>
    <w:rsid w:val="001A1990"/>
    <w:rsid w:val="001A1D18"/>
    <w:rsid w:val="001A370A"/>
    <w:rsid w:val="001A4237"/>
    <w:rsid w:val="001A5039"/>
    <w:rsid w:val="001A5C25"/>
    <w:rsid w:val="001A5E42"/>
    <w:rsid w:val="001A5EB4"/>
    <w:rsid w:val="001A61CB"/>
    <w:rsid w:val="001A6AF4"/>
    <w:rsid w:val="001A6DAC"/>
    <w:rsid w:val="001A7082"/>
    <w:rsid w:val="001A735F"/>
    <w:rsid w:val="001A7F3B"/>
    <w:rsid w:val="001B029F"/>
    <w:rsid w:val="001B0ABC"/>
    <w:rsid w:val="001B23BD"/>
    <w:rsid w:val="001B264E"/>
    <w:rsid w:val="001B316E"/>
    <w:rsid w:val="001B3982"/>
    <w:rsid w:val="001B3B07"/>
    <w:rsid w:val="001B3CF3"/>
    <w:rsid w:val="001B3FB3"/>
    <w:rsid w:val="001B4C95"/>
    <w:rsid w:val="001B50BE"/>
    <w:rsid w:val="001B51B2"/>
    <w:rsid w:val="001B5251"/>
    <w:rsid w:val="001B6344"/>
    <w:rsid w:val="001B635D"/>
    <w:rsid w:val="001B64C9"/>
    <w:rsid w:val="001B7370"/>
    <w:rsid w:val="001B795E"/>
    <w:rsid w:val="001B7987"/>
    <w:rsid w:val="001B7B7B"/>
    <w:rsid w:val="001C00C0"/>
    <w:rsid w:val="001C0918"/>
    <w:rsid w:val="001C14CF"/>
    <w:rsid w:val="001C2389"/>
    <w:rsid w:val="001C2E12"/>
    <w:rsid w:val="001C3168"/>
    <w:rsid w:val="001C39B6"/>
    <w:rsid w:val="001C43E1"/>
    <w:rsid w:val="001C4643"/>
    <w:rsid w:val="001C479F"/>
    <w:rsid w:val="001C4BDB"/>
    <w:rsid w:val="001C4CC2"/>
    <w:rsid w:val="001C4D71"/>
    <w:rsid w:val="001C4E5F"/>
    <w:rsid w:val="001C4EBB"/>
    <w:rsid w:val="001C5838"/>
    <w:rsid w:val="001C604A"/>
    <w:rsid w:val="001C6CE9"/>
    <w:rsid w:val="001C716F"/>
    <w:rsid w:val="001C71A2"/>
    <w:rsid w:val="001C7553"/>
    <w:rsid w:val="001C7CA4"/>
    <w:rsid w:val="001D0E5A"/>
    <w:rsid w:val="001D1380"/>
    <w:rsid w:val="001D1772"/>
    <w:rsid w:val="001D1BB5"/>
    <w:rsid w:val="001D311F"/>
    <w:rsid w:val="001D3182"/>
    <w:rsid w:val="001D3D53"/>
    <w:rsid w:val="001D4E8F"/>
    <w:rsid w:val="001D5307"/>
    <w:rsid w:val="001D5388"/>
    <w:rsid w:val="001D574C"/>
    <w:rsid w:val="001D5D51"/>
    <w:rsid w:val="001D7138"/>
    <w:rsid w:val="001D7D22"/>
    <w:rsid w:val="001D7ECC"/>
    <w:rsid w:val="001E062F"/>
    <w:rsid w:val="001E0857"/>
    <w:rsid w:val="001E08B5"/>
    <w:rsid w:val="001E0B81"/>
    <w:rsid w:val="001E0BB1"/>
    <w:rsid w:val="001E11CD"/>
    <w:rsid w:val="001E1584"/>
    <w:rsid w:val="001E1653"/>
    <w:rsid w:val="001E1FE8"/>
    <w:rsid w:val="001E21E5"/>
    <w:rsid w:val="001E22B0"/>
    <w:rsid w:val="001E239E"/>
    <w:rsid w:val="001E2678"/>
    <w:rsid w:val="001E40A8"/>
    <w:rsid w:val="001E41A4"/>
    <w:rsid w:val="001E4693"/>
    <w:rsid w:val="001E4FB9"/>
    <w:rsid w:val="001E5690"/>
    <w:rsid w:val="001E5937"/>
    <w:rsid w:val="001E6C50"/>
    <w:rsid w:val="001E7356"/>
    <w:rsid w:val="001E7702"/>
    <w:rsid w:val="001E7858"/>
    <w:rsid w:val="001E7E59"/>
    <w:rsid w:val="001F0171"/>
    <w:rsid w:val="001F0B63"/>
    <w:rsid w:val="001F0BAD"/>
    <w:rsid w:val="001F2055"/>
    <w:rsid w:val="001F270B"/>
    <w:rsid w:val="001F36DB"/>
    <w:rsid w:val="001F3989"/>
    <w:rsid w:val="001F444C"/>
    <w:rsid w:val="001F4E96"/>
    <w:rsid w:val="001F4FA8"/>
    <w:rsid w:val="001F57F8"/>
    <w:rsid w:val="001F65EA"/>
    <w:rsid w:val="001F6849"/>
    <w:rsid w:val="001F75CB"/>
    <w:rsid w:val="001F7F00"/>
    <w:rsid w:val="001F7FB7"/>
    <w:rsid w:val="001F7FCB"/>
    <w:rsid w:val="00200776"/>
    <w:rsid w:val="002007D8"/>
    <w:rsid w:val="00200993"/>
    <w:rsid w:val="00200F11"/>
    <w:rsid w:val="00200F85"/>
    <w:rsid w:val="002018BE"/>
    <w:rsid w:val="00203947"/>
    <w:rsid w:val="00204304"/>
    <w:rsid w:val="00205B37"/>
    <w:rsid w:val="00205C13"/>
    <w:rsid w:val="00205F90"/>
    <w:rsid w:val="0020644A"/>
    <w:rsid w:val="0020715C"/>
    <w:rsid w:val="00207A82"/>
    <w:rsid w:val="00210350"/>
    <w:rsid w:val="00210489"/>
    <w:rsid w:val="00211142"/>
    <w:rsid w:val="002118C9"/>
    <w:rsid w:val="00211B49"/>
    <w:rsid w:val="002121D6"/>
    <w:rsid w:val="00212366"/>
    <w:rsid w:val="002124A6"/>
    <w:rsid w:val="00212F6A"/>
    <w:rsid w:val="00212FD0"/>
    <w:rsid w:val="002132F7"/>
    <w:rsid w:val="002133FD"/>
    <w:rsid w:val="002134DC"/>
    <w:rsid w:val="002145A9"/>
    <w:rsid w:val="0021493F"/>
    <w:rsid w:val="0021587F"/>
    <w:rsid w:val="002164E5"/>
    <w:rsid w:val="00216605"/>
    <w:rsid w:val="00216BF8"/>
    <w:rsid w:val="00217644"/>
    <w:rsid w:val="00217B8E"/>
    <w:rsid w:val="00217D15"/>
    <w:rsid w:val="00217E49"/>
    <w:rsid w:val="00220449"/>
    <w:rsid w:val="002208BC"/>
    <w:rsid w:val="00220B0A"/>
    <w:rsid w:val="00221473"/>
    <w:rsid w:val="002224B8"/>
    <w:rsid w:val="0022266B"/>
    <w:rsid w:val="00222D2D"/>
    <w:rsid w:val="00222DDD"/>
    <w:rsid w:val="00223E11"/>
    <w:rsid w:val="00224CE4"/>
    <w:rsid w:val="00225CD1"/>
    <w:rsid w:val="00225E72"/>
    <w:rsid w:val="0022679A"/>
    <w:rsid w:val="00226C2B"/>
    <w:rsid w:val="00226C8F"/>
    <w:rsid w:val="00227088"/>
    <w:rsid w:val="00227A59"/>
    <w:rsid w:val="00227DAB"/>
    <w:rsid w:val="0023081A"/>
    <w:rsid w:val="002309D5"/>
    <w:rsid w:val="00230A09"/>
    <w:rsid w:val="0023219C"/>
    <w:rsid w:val="00232607"/>
    <w:rsid w:val="002328A0"/>
    <w:rsid w:val="002329DF"/>
    <w:rsid w:val="00233A5D"/>
    <w:rsid w:val="002345EA"/>
    <w:rsid w:val="00234995"/>
    <w:rsid w:val="002356D0"/>
    <w:rsid w:val="002356D7"/>
    <w:rsid w:val="00235FB3"/>
    <w:rsid w:val="002362F9"/>
    <w:rsid w:val="00236ADB"/>
    <w:rsid w:val="002373CC"/>
    <w:rsid w:val="0024009F"/>
    <w:rsid w:val="002408B1"/>
    <w:rsid w:val="00240940"/>
    <w:rsid w:val="00241553"/>
    <w:rsid w:val="00241E62"/>
    <w:rsid w:val="002427BC"/>
    <w:rsid w:val="002428E0"/>
    <w:rsid w:val="00242DC6"/>
    <w:rsid w:val="0024455C"/>
    <w:rsid w:val="00244678"/>
    <w:rsid w:val="002446CC"/>
    <w:rsid w:val="00244A99"/>
    <w:rsid w:val="00244D5F"/>
    <w:rsid w:val="0024537B"/>
    <w:rsid w:val="002466BF"/>
    <w:rsid w:val="0024683A"/>
    <w:rsid w:val="0024702D"/>
    <w:rsid w:val="00247847"/>
    <w:rsid w:val="00250046"/>
    <w:rsid w:val="002509BB"/>
    <w:rsid w:val="00250BF4"/>
    <w:rsid w:val="00251C22"/>
    <w:rsid w:val="0025209C"/>
    <w:rsid w:val="00252572"/>
    <w:rsid w:val="00253089"/>
    <w:rsid w:val="002555CA"/>
    <w:rsid w:val="00256600"/>
    <w:rsid w:val="00256817"/>
    <w:rsid w:val="00256ED0"/>
    <w:rsid w:val="002577D0"/>
    <w:rsid w:val="00257B57"/>
    <w:rsid w:val="002603B7"/>
    <w:rsid w:val="00260C7B"/>
    <w:rsid w:val="00260D0D"/>
    <w:rsid w:val="002611EC"/>
    <w:rsid w:val="00261282"/>
    <w:rsid w:val="00262A27"/>
    <w:rsid w:val="00264337"/>
    <w:rsid w:val="00264689"/>
    <w:rsid w:val="002649F4"/>
    <w:rsid w:val="00264E71"/>
    <w:rsid w:val="002657F4"/>
    <w:rsid w:val="00266D41"/>
    <w:rsid w:val="0026771A"/>
    <w:rsid w:val="00267B4A"/>
    <w:rsid w:val="0027056D"/>
    <w:rsid w:val="00270A00"/>
    <w:rsid w:val="00270B7D"/>
    <w:rsid w:val="00270ED3"/>
    <w:rsid w:val="002710DB"/>
    <w:rsid w:val="00271150"/>
    <w:rsid w:val="002713C4"/>
    <w:rsid w:val="0027158F"/>
    <w:rsid w:val="00272638"/>
    <w:rsid w:val="002729CE"/>
    <w:rsid w:val="00272BCE"/>
    <w:rsid w:val="00272FD3"/>
    <w:rsid w:val="00273293"/>
    <w:rsid w:val="00273467"/>
    <w:rsid w:val="002740C5"/>
    <w:rsid w:val="002743AC"/>
    <w:rsid w:val="00274409"/>
    <w:rsid w:val="002752A9"/>
    <w:rsid w:val="002757AD"/>
    <w:rsid w:val="00276B57"/>
    <w:rsid w:val="00276FD0"/>
    <w:rsid w:val="00276FF3"/>
    <w:rsid w:val="00277292"/>
    <w:rsid w:val="00280389"/>
    <w:rsid w:val="002807A8"/>
    <w:rsid w:val="002818CA"/>
    <w:rsid w:val="00281F03"/>
    <w:rsid w:val="00282819"/>
    <w:rsid w:val="002828B7"/>
    <w:rsid w:val="00282C50"/>
    <w:rsid w:val="00283F2C"/>
    <w:rsid w:val="00284719"/>
    <w:rsid w:val="00284A72"/>
    <w:rsid w:val="00285291"/>
    <w:rsid w:val="00285D0F"/>
    <w:rsid w:val="002876E3"/>
    <w:rsid w:val="00287DD8"/>
    <w:rsid w:val="00291049"/>
    <w:rsid w:val="002910E4"/>
    <w:rsid w:val="00291211"/>
    <w:rsid w:val="00291B31"/>
    <w:rsid w:val="002927C4"/>
    <w:rsid w:val="00293084"/>
    <w:rsid w:val="0029354A"/>
    <w:rsid w:val="002939E2"/>
    <w:rsid w:val="00293A63"/>
    <w:rsid w:val="002940D5"/>
    <w:rsid w:val="00294278"/>
    <w:rsid w:val="00294339"/>
    <w:rsid w:val="002949CC"/>
    <w:rsid w:val="00295663"/>
    <w:rsid w:val="00296475"/>
    <w:rsid w:val="00296D08"/>
    <w:rsid w:val="00297403"/>
    <w:rsid w:val="002975E7"/>
    <w:rsid w:val="002A0022"/>
    <w:rsid w:val="002A007B"/>
    <w:rsid w:val="002A1172"/>
    <w:rsid w:val="002A14A0"/>
    <w:rsid w:val="002A26B2"/>
    <w:rsid w:val="002A2810"/>
    <w:rsid w:val="002A2CDC"/>
    <w:rsid w:val="002A30E6"/>
    <w:rsid w:val="002A3447"/>
    <w:rsid w:val="002A3FCA"/>
    <w:rsid w:val="002A4743"/>
    <w:rsid w:val="002A4C39"/>
    <w:rsid w:val="002A5265"/>
    <w:rsid w:val="002A5941"/>
    <w:rsid w:val="002A5DCA"/>
    <w:rsid w:val="002A6334"/>
    <w:rsid w:val="002A64AD"/>
    <w:rsid w:val="002A7346"/>
    <w:rsid w:val="002A77BE"/>
    <w:rsid w:val="002A7F09"/>
    <w:rsid w:val="002B0368"/>
    <w:rsid w:val="002B068B"/>
    <w:rsid w:val="002B11BD"/>
    <w:rsid w:val="002B13E8"/>
    <w:rsid w:val="002B1AC1"/>
    <w:rsid w:val="002B2BF1"/>
    <w:rsid w:val="002B3DF5"/>
    <w:rsid w:val="002B464F"/>
    <w:rsid w:val="002B5C4D"/>
    <w:rsid w:val="002B70E9"/>
    <w:rsid w:val="002B7957"/>
    <w:rsid w:val="002B7CB6"/>
    <w:rsid w:val="002C0019"/>
    <w:rsid w:val="002C0F55"/>
    <w:rsid w:val="002C1AE4"/>
    <w:rsid w:val="002C1E63"/>
    <w:rsid w:val="002C225B"/>
    <w:rsid w:val="002C2F15"/>
    <w:rsid w:val="002C33F7"/>
    <w:rsid w:val="002C3951"/>
    <w:rsid w:val="002C3C7D"/>
    <w:rsid w:val="002C3DE8"/>
    <w:rsid w:val="002C4AE2"/>
    <w:rsid w:val="002C544D"/>
    <w:rsid w:val="002C7217"/>
    <w:rsid w:val="002C741C"/>
    <w:rsid w:val="002D07A9"/>
    <w:rsid w:val="002D09AC"/>
    <w:rsid w:val="002D0F5A"/>
    <w:rsid w:val="002D1037"/>
    <w:rsid w:val="002D1323"/>
    <w:rsid w:val="002D1478"/>
    <w:rsid w:val="002D150A"/>
    <w:rsid w:val="002D1584"/>
    <w:rsid w:val="002D1C7E"/>
    <w:rsid w:val="002D1FB8"/>
    <w:rsid w:val="002D23A2"/>
    <w:rsid w:val="002D28E4"/>
    <w:rsid w:val="002D2A23"/>
    <w:rsid w:val="002D2BD3"/>
    <w:rsid w:val="002D2E7C"/>
    <w:rsid w:val="002D33DB"/>
    <w:rsid w:val="002D38BC"/>
    <w:rsid w:val="002D3FC3"/>
    <w:rsid w:val="002D4521"/>
    <w:rsid w:val="002D457E"/>
    <w:rsid w:val="002D4F15"/>
    <w:rsid w:val="002D55D1"/>
    <w:rsid w:val="002D5FDA"/>
    <w:rsid w:val="002D78D7"/>
    <w:rsid w:val="002D7D72"/>
    <w:rsid w:val="002E0488"/>
    <w:rsid w:val="002E0C10"/>
    <w:rsid w:val="002E119C"/>
    <w:rsid w:val="002E2205"/>
    <w:rsid w:val="002E2A12"/>
    <w:rsid w:val="002E2D95"/>
    <w:rsid w:val="002E367D"/>
    <w:rsid w:val="002E48AA"/>
    <w:rsid w:val="002E4A99"/>
    <w:rsid w:val="002E57CA"/>
    <w:rsid w:val="002E58EB"/>
    <w:rsid w:val="002E615B"/>
    <w:rsid w:val="002E622E"/>
    <w:rsid w:val="002E7A59"/>
    <w:rsid w:val="002E7BA4"/>
    <w:rsid w:val="002F04ED"/>
    <w:rsid w:val="002F0EF8"/>
    <w:rsid w:val="002F15CD"/>
    <w:rsid w:val="002F297B"/>
    <w:rsid w:val="002F3217"/>
    <w:rsid w:val="002F45B2"/>
    <w:rsid w:val="002F4683"/>
    <w:rsid w:val="002F46E4"/>
    <w:rsid w:val="002F47FA"/>
    <w:rsid w:val="002F58B5"/>
    <w:rsid w:val="002F74E3"/>
    <w:rsid w:val="002F7895"/>
    <w:rsid w:val="002F7951"/>
    <w:rsid w:val="002F7C73"/>
    <w:rsid w:val="002F7E63"/>
    <w:rsid w:val="0030219D"/>
    <w:rsid w:val="00302958"/>
    <w:rsid w:val="00302DD8"/>
    <w:rsid w:val="00302F02"/>
    <w:rsid w:val="003035C7"/>
    <w:rsid w:val="003047D8"/>
    <w:rsid w:val="00304D4D"/>
    <w:rsid w:val="00305083"/>
    <w:rsid w:val="00305114"/>
    <w:rsid w:val="0030583B"/>
    <w:rsid w:val="003062A4"/>
    <w:rsid w:val="00306666"/>
    <w:rsid w:val="00306B94"/>
    <w:rsid w:val="00306BB1"/>
    <w:rsid w:val="00307064"/>
    <w:rsid w:val="00310BDA"/>
    <w:rsid w:val="00311243"/>
    <w:rsid w:val="00311DC6"/>
    <w:rsid w:val="00311E29"/>
    <w:rsid w:val="003123FA"/>
    <w:rsid w:val="003135C3"/>
    <w:rsid w:val="00313DF7"/>
    <w:rsid w:val="00315207"/>
    <w:rsid w:val="00315699"/>
    <w:rsid w:val="00315771"/>
    <w:rsid w:val="00315FBB"/>
    <w:rsid w:val="003162C6"/>
    <w:rsid w:val="00316CC7"/>
    <w:rsid w:val="00317092"/>
    <w:rsid w:val="003172F9"/>
    <w:rsid w:val="00317938"/>
    <w:rsid w:val="00317A69"/>
    <w:rsid w:val="00321814"/>
    <w:rsid w:val="00321CFC"/>
    <w:rsid w:val="0032223A"/>
    <w:rsid w:val="00322D82"/>
    <w:rsid w:val="003231C5"/>
    <w:rsid w:val="0032453D"/>
    <w:rsid w:val="0032536E"/>
    <w:rsid w:val="00325421"/>
    <w:rsid w:val="00325743"/>
    <w:rsid w:val="00325A46"/>
    <w:rsid w:val="00325A6C"/>
    <w:rsid w:val="00325E6F"/>
    <w:rsid w:val="0032730C"/>
    <w:rsid w:val="00327348"/>
    <w:rsid w:val="00327660"/>
    <w:rsid w:val="00327874"/>
    <w:rsid w:val="0033012E"/>
    <w:rsid w:val="0033018C"/>
    <w:rsid w:val="003308B5"/>
    <w:rsid w:val="003318DB"/>
    <w:rsid w:val="00332370"/>
    <w:rsid w:val="0033245B"/>
    <w:rsid w:val="00332701"/>
    <w:rsid w:val="00332BCF"/>
    <w:rsid w:val="00332E56"/>
    <w:rsid w:val="003339DE"/>
    <w:rsid w:val="00333CB2"/>
    <w:rsid w:val="00334374"/>
    <w:rsid w:val="00334952"/>
    <w:rsid w:val="00334957"/>
    <w:rsid w:val="00334E02"/>
    <w:rsid w:val="00335674"/>
    <w:rsid w:val="00336317"/>
    <w:rsid w:val="003366C0"/>
    <w:rsid w:val="00336B7E"/>
    <w:rsid w:val="003370A6"/>
    <w:rsid w:val="00337853"/>
    <w:rsid w:val="003406F9"/>
    <w:rsid w:val="0034070F"/>
    <w:rsid w:val="00340ABA"/>
    <w:rsid w:val="00340EFE"/>
    <w:rsid w:val="0034118E"/>
    <w:rsid w:val="0034149A"/>
    <w:rsid w:val="0034175F"/>
    <w:rsid w:val="003417B3"/>
    <w:rsid w:val="00342616"/>
    <w:rsid w:val="00342CC0"/>
    <w:rsid w:val="00343052"/>
    <w:rsid w:val="003430FA"/>
    <w:rsid w:val="003432C4"/>
    <w:rsid w:val="00343398"/>
    <w:rsid w:val="00343D99"/>
    <w:rsid w:val="00343FAA"/>
    <w:rsid w:val="00344167"/>
    <w:rsid w:val="003458F0"/>
    <w:rsid w:val="00346755"/>
    <w:rsid w:val="003472CE"/>
    <w:rsid w:val="003476E3"/>
    <w:rsid w:val="00347AC3"/>
    <w:rsid w:val="00347B96"/>
    <w:rsid w:val="0035006A"/>
    <w:rsid w:val="003504BF"/>
    <w:rsid w:val="00350CA8"/>
    <w:rsid w:val="00350D4A"/>
    <w:rsid w:val="00350E66"/>
    <w:rsid w:val="00351243"/>
    <w:rsid w:val="0035137B"/>
    <w:rsid w:val="00351465"/>
    <w:rsid w:val="003518A9"/>
    <w:rsid w:val="003518AB"/>
    <w:rsid w:val="0035206B"/>
    <w:rsid w:val="0035288C"/>
    <w:rsid w:val="00353ADB"/>
    <w:rsid w:val="00354D23"/>
    <w:rsid w:val="003555D1"/>
    <w:rsid w:val="00355980"/>
    <w:rsid w:val="003559A2"/>
    <w:rsid w:val="003564C3"/>
    <w:rsid w:val="00356544"/>
    <w:rsid w:val="00356A87"/>
    <w:rsid w:val="00356F5A"/>
    <w:rsid w:val="003570C2"/>
    <w:rsid w:val="003579F5"/>
    <w:rsid w:val="00360CE2"/>
    <w:rsid w:val="00361E0A"/>
    <w:rsid w:val="003631B4"/>
    <w:rsid w:val="0036323E"/>
    <w:rsid w:val="0036342B"/>
    <w:rsid w:val="00364B49"/>
    <w:rsid w:val="00364EC9"/>
    <w:rsid w:val="0036534A"/>
    <w:rsid w:val="00365497"/>
    <w:rsid w:val="00365986"/>
    <w:rsid w:val="00365ABF"/>
    <w:rsid w:val="003660A8"/>
    <w:rsid w:val="0036675A"/>
    <w:rsid w:val="00367C6F"/>
    <w:rsid w:val="003701F8"/>
    <w:rsid w:val="00370BFD"/>
    <w:rsid w:val="00371BC4"/>
    <w:rsid w:val="00371BE8"/>
    <w:rsid w:val="00372C61"/>
    <w:rsid w:val="003731EF"/>
    <w:rsid w:val="003732DD"/>
    <w:rsid w:val="0037341C"/>
    <w:rsid w:val="0037349F"/>
    <w:rsid w:val="00373E92"/>
    <w:rsid w:val="00374395"/>
    <w:rsid w:val="003743AB"/>
    <w:rsid w:val="003748F1"/>
    <w:rsid w:val="00375219"/>
    <w:rsid w:val="00375DF0"/>
    <w:rsid w:val="0037693A"/>
    <w:rsid w:val="003808D7"/>
    <w:rsid w:val="00380A97"/>
    <w:rsid w:val="0038129D"/>
    <w:rsid w:val="003820BD"/>
    <w:rsid w:val="003828FC"/>
    <w:rsid w:val="00382CAC"/>
    <w:rsid w:val="003830EF"/>
    <w:rsid w:val="00383BAD"/>
    <w:rsid w:val="0038599C"/>
    <w:rsid w:val="00386276"/>
    <w:rsid w:val="00386BA0"/>
    <w:rsid w:val="00386CF7"/>
    <w:rsid w:val="0038730B"/>
    <w:rsid w:val="00387E13"/>
    <w:rsid w:val="00391797"/>
    <w:rsid w:val="00392568"/>
    <w:rsid w:val="00393066"/>
    <w:rsid w:val="00394356"/>
    <w:rsid w:val="003958E9"/>
    <w:rsid w:val="00396165"/>
    <w:rsid w:val="003964C4"/>
    <w:rsid w:val="00396595"/>
    <w:rsid w:val="00396E1E"/>
    <w:rsid w:val="0039705E"/>
    <w:rsid w:val="0039787D"/>
    <w:rsid w:val="00397ECE"/>
    <w:rsid w:val="003A00A5"/>
    <w:rsid w:val="003A014E"/>
    <w:rsid w:val="003A1103"/>
    <w:rsid w:val="003A143A"/>
    <w:rsid w:val="003A14A0"/>
    <w:rsid w:val="003A14E1"/>
    <w:rsid w:val="003A1A3B"/>
    <w:rsid w:val="003A1DAE"/>
    <w:rsid w:val="003A2F19"/>
    <w:rsid w:val="003A3E59"/>
    <w:rsid w:val="003A3F28"/>
    <w:rsid w:val="003A41F2"/>
    <w:rsid w:val="003A4373"/>
    <w:rsid w:val="003A5135"/>
    <w:rsid w:val="003A515B"/>
    <w:rsid w:val="003A53AD"/>
    <w:rsid w:val="003A5906"/>
    <w:rsid w:val="003A7256"/>
    <w:rsid w:val="003A7523"/>
    <w:rsid w:val="003A75B2"/>
    <w:rsid w:val="003B0090"/>
    <w:rsid w:val="003B0A4C"/>
    <w:rsid w:val="003B0FE3"/>
    <w:rsid w:val="003B1347"/>
    <w:rsid w:val="003B141E"/>
    <w:rsid w:val="003B2E7A"/>
    <w:rsid w:val="003B30E8"/>
    <w:rsid w:val="003B38FB"/>
    <w:rsid w:val="003B3A8E"/>
    <w:rsid w:val="003B3F4D"/>
    <w:rsid w:val="003B406F"/>
    <w:rsid w:val="003B47E7"/>
    <w:rsid w:val="003B54F0"/>
    <w:rsid w:val="003B58B3"/>
    <w:rsid w:val="003B593B"/>
    <w:rsid w:val="003B61FA"/>
    <w:rsid w:val="003B7252"/>
    <w:rsid w:val="003B7489"/>
    <w:rsid w:val="003B790D"/>
    <w:rsid w:val="003B7D6E"/>
    <w:rsid w:val="003B7FE1"/>
    <w:rsid w:val="003C0364"/>
    <w:rsid w:val="003C0528"/>
    <w:rsid w:val="003C1346"/>
    <w:rsid w:val="003C24E5"/>
    <w:rsid w:val="003C26F4"/>
    <w:rsid w:val="003C2D74"/>
    <w:rsid w:val="003C33EA"/>
    <w:rsid w:val="003C5A17"/>
    <w:rsid w:val="003C6207"/>
    <w:rsid w:val="003C662F"/>
    <w:rsid w:val="003C6653"/>
    <w:rsid w:val="003C6F53"/>
    <w:rsid w:val="003C783D"/>
    <w:rsid w:val="003C7C29"/>
    <w:rsid w:val="003C7C32"/>
    <w:rsid w:val="003D07A3"/>
    <w:rsid w:val="003D0998"/>
    <w:rsid w:val="003D10B7"/>
    <w:rsid w:val="003D10DE"/>
    <w:rsid w:val="003D1105"/>
    <w:rsid w:val="003D11B6"/>
    <w:rsid w:val="003D17E9"/>
    <w:rsid w:val="003D1C43"/>
    <w:rsid w:val="003D1F5E"/>
    <w:rsid w:val="003D232F"/>
    <w:rsid w:val="003D2335"/>
    <w:rsid w:val="003D2622"/>
    <w:rsid w:val="003D2BF9"/>
    <w:rsid w:val="003D2EA1"/>
    <w:rsid w:val="003D2FDD"/>
    <w:rsid w:val="003D3147"/>
    <w:rsid w:val="003D36B0"/>
    <w:rsid w:val="003D4450"/>
    <w:rsid w:val="003D4D2F"/>
    <w:rsid w:val="003D4E9D"/>
    <w:rsid w:val="003D5669"/>
    <w:rsid w:val="003D5AB0"/>
    <w:rsid w:val="003D6836"/>
    <w:rsid w:val="003D6B60"/>
    <w:rsid w:val="003D703C"/>
    <w:rsid w:val="003D79FC"/>
    <w:rsid w:val="003D7A77"/>
    <w:rsid w:val="003D7E93"/>
    <w:rsid w:val="003E0582"/>
    <w:rsid w:val="003E082A"/>
    <w:rsid w:val="003E0A06"/>
    <w:rsid w:val="003E2B3B"/>
    <w:rsid w:val="003E3DF7"/>
    <w:rsid w:val="003E4471"/>
    <w:rsid w:val="003E4865"/>
    <w:rsid w:val="003E4A2A"/>
    <w:rsid w:val="003E588C"/>
    <w:rsid w:val="003E5A95"/>
    <w:rsid w:val="003E64F8"/>
    <w:rsid w:val="003E6FD8"/>
    <w:rsid w:val="003E700E"/>
    <w:rsid w:val="003E70AA"/>
    <w:rsid w:val="003E7628"/>
    <w:rsid w:val="003E78DB"/>
    <w:rsid w:val="003F0307"/>
    <w:rsid w:val="003F0473"/>
    <w:rsid w:val="003F1CF5"/>
    <w:rsid w:val="003F1FEA"/>
    <w:rsid w:val="003F28C1"/>
    <w:rsid w:val="003F2B2E"/>
    <w:rsid w:val="003F3CEA"/>
    <w:rsid w:val="003F4E1D"/>
    <w:rsid w:val="003F53A9"/>
    <w:rsid w:val="003F53DC"/>
    <w:rsid w:val="003F54BE"/>
    <w:rsid w:val="003F5618"/>
    <w:rsid w:val="003F60E4"/>
    <w:rsid w:val="003F6E3C"/>
    <w:rsid w:val="003F7255"/>
    <w:rsid w:val="003F7A2B"/>
    <w:rsid w:val="003F7A50"/>
    <w:rsid w:val="003F7E67"/>
    <w:rsid w:val="00400CDD"/>
    <w:rsid w:val="00400D59"/>
    <w:rsid w:val="00400FA4"/>
    <w:rsid w:val="004013C1"/>
    <w:rsid w:val="0040393C"/>
    <w:rsid w:val="00403B9D"/>
    <w:rsid w:val="00403D97"/>
    <w:rsid w:val="00404F63"/>
    <w:rsid w:val="00406840"/>
    <w:rsid w:val="00406EF2"/>
    <w:rsid w:val="00407068"/>
    <w:rsid w:val="00407655"/>
    <w:rsid w:val="004079E2"/>
    <w:rsid w:val="00407FD9"/>
    <w:rsid w:val="00410718"/>
    <w:rsid w:val="00410C29"/>
    <w:rsid w:val="00410C8F"/>
    <w:rsid w:val="00410CE9"/>
    <w:rsid w:val="004110B0"/>
    <w:rsid w:val="00411370"/>
    <w:rsid w:val="0041139E"/>
    <w:rsid w:val="004114AD"/>
    <w:rsid w:val="00412984"/>
    <w:rsid w:val="00412A70"/>
    <w:rsid w:val="00413A8F"/>
    <w:rsid w:val="00413AD3"/>
    <w:rsid w:val="004146E7"/>
    <w:rsid w:val="00414C26"/>
    <w:rsid w:val="00415438"/>
    <w:rsid w:val="004161C9"/>
    <w:rsid w:val="004173FD"/>
    <w:rsid w:val="00417771"/>
    <w:rsid w:val="00417D9D"/>
    <w:rsid w:val="00417EDA"/>
    <w:rsid w:val="00420209"/>
    <w:rsid w:val="00420B18"/>
    <w:rsid w:val="00420C10"/>
    <w:rsid w:val="00420C4B"/>
    <w:rsid w:val="00421583"/>
    <w:rsid w:val="00421D7F"/>
    <w:rsid w:val="0042480E"/>
    <w:rsid w:val="00424923"/>
    <w:rsid w:val="004250BA"/>
    <w:rsid w:val="004301AA"/>
    <w:rsid w:val="0043061D"/>
    <w:rsid w:val="00430C47"/>
    <w:rsid w:val="004317C9"/>
    <w:rsid w:val="004328DC"/>
    <w:rsid w:val="00432F0C"/>
    <w:rsid w:val="0043317A"/>
    <w:rsid w:val="00433AD2"/>
    <w:rsid w:val="00434077"/>
    <w:rsid w:val="00434293"/>
    <w:rsid w:val="0043437A"/>
    <w:rsid w:val="00434761"/>
    <w:rsid w:val="00434B4F"/>
    <w:rsid w:val="00435016"/>
    <w:rsid w:val="00435D2A"/>
    <w:rsid w:val="00435F79"/>
    <w:rsid w:val="00436CA9"/>
    <w:rsid w:val="00437B95"/>
    <w:rsid w:val="00440136"/>
    <w:rsid w:val="004407B4"/>
    <w:rsid w:val="00440FA9"/>
    <w:rsid w:val="00441E05"/>
    <w:rsid w:val="00442A12"/>
    <w:rsid w:val="00442BEC"/>
    <w:rsid w:val="004434C3"/>
    <w:rsid w:val="00443C4D"/>
    <w:rsid w:val="004444B4"/>
    <w:rsid w:val="00444D5E"/>
    <w:rsid w:val="0044530A"/>
    <w:rsid w:val="00445420"/>
    <w:rsid w:val="00445C4B"/>
    <w:rsid w:val="00445C7E"/>
    <w:rsid w:val="00445DD3"/>
    <w:rsid w:val="0044620E"/>
    <w:rsid w:val="004462A0"/>
    <w:rsid w:val="004475ED"/>
    <w:rsid w:val="004500F4"/>
    <w:rsid w:val="0045122A"/>
    <w:rsid w:val="004514D2"/>
    <w:rsid w:val="0045157F"/>
    <w:rsid w:val="0045290A"/>
    <w:rsid w:val="00453858"/>
    <w:rsid w:val="0045478A"/>
    <w:rsid w:val="00455196"/>
    <w:rsid w:val="004552ED"/>
    <w:rsid w:val="00456AA0"/>
    <w:rsid w:val="00456EB4"/>
    <w:rsid w:val="0045741E"/>
    <w:rsid w:val="004576D0"/>
    <w:rsid w:val="0045787F"/>
    <w:rsid w:val="004603EF"/>
    <w:rsid w:val="004605F8"/>
    <w:rsid w:val="004612DE"/>
    <w:rsid w:val="0046172A"/>
    <w:rsid w:val="00461F8C"/>
    <w:rsid w:val="004633DE"/>
    <w:rsid w:val="004639AB"/>
    <w:rsid w:val="00464455"/>
    <w:rsid w:val="00464A9C"/>
    <w:rsid w:val="004655E4"/>
    <w:rsid w:val="00465F80"/>
    <w:rsid w:val="0046639E"/>
    <w:rsid w:val="004663C1"/>
    <w:rsid w:val="004663D7"/>
    <w:rsid w:val="00466833"/>
    <w:rsid w:val="00471EE8"/>
    <w:rsid w:val="00473008"/>
    <w:rsid w:val="00473548"/>
    <w:rsid w:val="00473EEE"/>
    <w:rsid w:val="0047405E"/>
    <w:rsid w:val="004745A5"/>
    <w:rsid w:val="00474808"/>
    <w:rsid w:val="00474B6C"/>
    <w:rsid w:val="00474FC1"/>
    <w:rsid w:val="0047541A"/>
    <w:rsid w:val="00475767"/>
    <w:rsid w:val="00475AE0"/>
    <w:rsid w:val="00475DD6"/>
    <w:rsid w:val="00476004"/>
    <w:rsid w:val="0047663C"/>
    <w:rsid w:val="004770CE"/>
    <w:rsid w:val="00477145"/>
    <w:rsid w:val="004776C1"/>
    <w:rsid w:val="0047798A"/>
    <w:rsid w:val="00477D86"/>
    <w:rsid w:val="00477FED"/>
    <w:rsid w:val="004802CD"/>
    <w:rsid w:val="00480BF6"/>
    <w:rsid w:val="00480EFB"/>
    <w:rsid w:val="00481698"/>
    <w:rsid w:val="004816B4"/>
    <w:rsid w:val="0048261C"/>
    <w:rsid w:val="0048314D"/>
    <w:rsid w:val="004842CC"/>
    <w:rsid w:val="0048471F"/>
    <w:rsid w:val="00484B64"/>
    <w:rsid w:val="00485617"/>
    <w:rsid w:val="00485ED6"/>
    <w:rsid w:val="00486157"/>
    <w:rsid w:val="00486825"/>
    <w:rsid w:val="00486A18"/>
    <w:rsid w:val="00486AF5"/>
    <w:rsid w:val="0048714E"/>
    <w:rsid w:val="004879A9"/>
    <w:rsid w:val="00487FFA"/>
    <w:rsid w:val="00490B18"/>
    <w:rsid w:val="0049169D"/>
    <w:rsid w:val="0049190E"/>
    <w:rsid w:val="004922C7"/>
    <w:rsid w:val="00492CB0"/>
    <w:rsid w:val="00492D39"/>
    <w:rsid w:val="00493557"/>
    <w:rsid w:val="00493F1F"/>
    <w:rsid w:val="0049459E"/>
    <w:rsid w:val="0049484E"/>
    <w:rsid w:val="00494B5B"/>
    <w:rsid w:val="00495773"/>
    <w:rsid w:val="004957F8"/>
    <w:rsid w:val="00495977"/>
    <w:rsid w:val="00495DBD"/>
    <w:rsid w:val="00495F45"/>
    <w:rsid w:val="004966A2"/>
    <w:rsid w:val="00496A41"/>
    <w:rsid w:val="00496CF9"/>
    <w:rsid w:val="004976EF"/>
    <w:rsid w:val="00497B67"/>
    <w:rsid w:val="00497FD0"/>
    <w:rsid w:val="004A02CA"/>
    <w:rsid w:val="004A1B0E"/>
    <w:rsid w:val="004A2B7C"/>
    <w:rsid w:val="004A2DF4"/>
    <w:rsid w:val="004A34FB"/>
    <w:rsid w:val="004A36F2"/>
    <w:rsid w:val="004A3C39"/>
    <w:rsid w:val="004A443F"/>
    <w:rsid w:val="004A628F"/>
    <w:rsid w:val="004A646C"/>
    <w:rsid w:val="004A7004"/>
    <w:rsid w:val="004A78BA"/>
    <w:rsid w:val="004A7E19"/>
    <w:rsid w:val="004B062D"/>
    <w:rsid w:val="004B100E"/>
    <w:rsid w:val="004B13EC"/>
    <w:rsid w:val="004B1B87"/>
    <w:rsid w:val="004B2866"/>
    <w:rsid w:val="004B2E30"/>
    <w:rsid w:val="004B438F"/>
    <w:rsid w:val="004B43B1"/>
    <w:rsid w:val="004B46FB"/>
    <w:rsid w:val="004B4D06"/>
    <w:rsid w:val="004B4FEB"/>
    <w:rsid w:val="004B5AA2"/>
    <w:rsid w:val="004B673F"/>
    <w:rsid w:val="004B67C8"/>
    <w:rsid w:val="004B6C82"/>
    <w:rsid w:val="004B6E4E"/>
    <w:rsid w:val="004B7505"/>
    <w:rsid w:val="004C0606"/>
    <w:rsid w:val="004C0F78"/>
    <w:rsid w:val="004C1527"/>
    <w:rsid w:val="004C1792"/>
    <w:rsid w:val="004C2697"/>
    <w:rsid w:val="004C2A2C"/>
    <w:rsid w:val="004C2E57"/>
    <w:rsid w:val="004C3930"/>
    <w:rsid w:val="004C4C66"/>
    <w:rsid w:val="004C5142"/>
    <w:rsid w:val="004C67FC"/>
    <w:rsid w:val="004C6812"/>
    <w:rsid w:val="004D0CB6"/>
    <w:rsid w:val="004D0D3A"/>
    <w:rsid w:val="004D0DE0"/>
    <w:rsid w:val="004D1A59"/>
    <w:rsid w:val="004D1C3C"/>
    <w:rsid w:val="004D1C48"/>
    <w:rsid w:val="004D1EC9"/>
    <w:rsid w:val="004D1F18"/>
    <w:rsid w:val="004D1F57"/>
    <w:rsid w:val="004D2AEF"/>
    <w:rsid w:val="004D2D88"/>
    <w:rsid w:val="004D33B4"/>
    <w:rsid w:val="004D36B7"/>
    <w:rsid w:val="004D3ADB"/>
    <w:rsid w:val="004D3CAD"/>
    <w:rsid w:val="004D47AB"/>
    <w:rsid w:val="004D5210"/>
    <w:rsid w:val="004D5323"/>
    <w:rsid w:val="004D55A0"/>
    <w:rsid w:val="004D684B"/>
    <w:rsid w:val="004D724A"/>
    <w:rsid w:val="004D7734"/>
    <w:rsid w:val="004D7F8F"/>
    <w:rsid w:val="004E0627"/>
    <w:rsid w:val="004E09CD"/>
    <w:rsid w:val="004E15C9"/>
    <w:rsid w:val="004E1A30"/>
    <w:rsid w:val="004E1A32"/>
    <w:rsid w:val="004E2461"/>
    <w:rsid w:val="004E2C09"/>
    <w:rsid w:val="004E2CAD"/>
    <w:rsid w:val="004E427C"/>
    <w:rsid w:val="004E4711"/>
    <w:rsid w:val="004E488E"/>
    <w:rsid w:val="004E4DF1"/>
    <w:rsid w:val="004E5C89"/>
    <w:rsid w:val="004E5E3E"/>
    <w:rsid w:val="004E6279"/>
    <w:rsid w:val="004E62FB"/>
    <w:rsid w:val="004E7641"/>
    <w:rsid w:val="004E7C0E"/>
    <w:rsid w:val="004F19C4"/>
    <w:rsid w:val="004F1CCD"/>
    <w:rsid w:val="004F1E96"/>
    <w:rsid w:val="004F2CBF"/>
    <w:rsid w:val="004F2CC0"/>
    <w:rsid w:val="004F3BAE"/>
    <w:rsid w:val="004F3DD4"/>
    <w:rsid w:val="004F43C3"/>
    <w:rsid w:val="004F4A9A"/>
    <w:rsid w:val="004F4EAF"/>
    <w:rsid w:val="004F5323"/>
    <w:rsid w:val="004F5537"/>
    <w:rsid w:val="004F5A54"/>
    <w:rsid w:val="004F64A8"/>
    <w:rsid w:val="004F6694"/>
    <w:rsid w:val="004F689F"/>
    <w:rsid w:val="004F78B4"/>
    <w:rsid w:val="00500675"/>
    <w:rsid w:val="005008D5"/>
    <w:rsid w:val="00501DA3"/>
    <w:rsid w:val="005024D2"/>
    <w:rsid w:val="00502BBC"/>
    <w:rsid w:val="00503097"/>
    <w:rsid w:val="00503A0B"/>
    <w:rsid w:val="00503A13"/>
    <w:rsid w:val="005049AF"/>
    <w:rsid w:val="00504CA9"/>
    <w:rsid w:val="00505A9A"/>
    <w:rsid w:val="005065F3"/>
    <w:rsid w:val="0050668C"/>
    <w:rsid w:val="00506F34"/>
    <w:rsid w:val="00507933"/>
    <w:rsid w:val="00507E0B"/>
    <w:rsid w:val="00510A5A"/>
    <w:rsid w:val="00510DB4"/>
    <w:rsid w:val="00511348"/>
    <w:rsid w:val="005115CB"/>
    <w:rsid w:val="00512086"/>
    <w:rsid w:val="00512830"/>
    <w:rsid w:val="00512EF9"/>
    <w:rsid w:val="005135AD"/>
    <w:rsid w:val="005136CA"/>
    <w:rsid w:val="00513903"/>
    <w:rsid w:val="00513B2D"/>
    <w:rsid w:val="00514815"/>
    <w:rsid w:val="00514A9C"/>
    <w:rsid w:val="00514D98"/>
    <w:rsid w:val="0051589E"/>
    <w:rsid w:val="00516240"/>
    <w:rsid w:val="00516412"/>
    <w:rsid w:val="00516829"/>
    <w:rsid w:val="00516F55"/>
    <w:rsid w:val="005202A6"/>
    <w:rsid w:val="00520303"/>
    <w:rsid w:val="005218A3"/>
    <w:rsid w:val="005218DA"/>
    <w:rsid w:val="00521DE3"/>
    <w:rsid w:val="0052329E"/>
    <w:rsid w:val="005237A9"/>
    <w:rsid w:val="005238BB"/>
    <w:rsid w:val="0052393B"/>
    <w:rsid w:val="0052453B"/>
    <w:rsid w:val="005246A6"/>
    <w:rsid w:val="00524AD7"/>
    <w:rsid w:val="00525707"/>
    <w:rsid w:val="00525A23"/>
    <w:rsid w:val="00526249"/>
    <w:rsid w:val="0052644A"/>
    <w:rsid w:val="00526A71"/>
    <w:rsid w:val="00526D3A"/>
    <w:rsid w:val="0052790F"/>
    <w:rsid w:val="00527A5E"/>
    <w:rsid w:val="0053010C"/>
    <w:rsid w:val="005316C0"/>
    <w:rsid w:val="0053173B"/>
    <w:rsid w:val="005321BD"/>
    <w:rsid w:val="005326C4"/>
    <w:rsid w:val="005329A9"/>
    <w:rsid w:val="00532A4C"/>
    <w:rsid w:val="00532B10"/>
    <w:rsid w:val="00534120"/>
    <w:rsid w:val="00534322"/>
    <w:rsid w:val="00534468"/>
    <w:rsid w:val="00534840"/>
    <w:rsid w:val="005348C4"/>
    <w:rsid w:val="00534E08"/>
    <w:rsid w:val="00534EA6"/>
    <w:rsid w:val="00534EB1"/>
    <w:rsid w:val="00534FCC"/>
    <w:rsid w:val="0053523A"/>
    <w:rsid w:val="00535270"/>
    <w:rsid w:val="005355A5"/>
    <w:rsid w:val="005357DD"/>
    <w:rsid w:val="00535B3A"/>
    <w:rsid w:val="00535F5F"/>
    <w:rsid w:val="00536594"/>
    <w:rsid w:val="005372D7"/>
    <w:rsid w:val="0053754A"/>
    <w:rsid w:val="0053787D"/>
    <w:rsid w:val="00537A41"/>
    <w:rsid w:val="005401BF"/>
    <w:rsid w:val="005417A5"/>
    <w:rsid w:val="00542295"/>
    <w:rsid w:val="005430CA"/>
    <w:rsid w:val="00543E4C"/>
    <w:rsid w:val="00543EBA"/>
    <w:rsid w:val="00543FA9"/>
    <w:rsid w:val="00544070"/>
    <w:rsid w:val="005455DC"/>
    <w:rsid w:val="00546900"/>
    <w:rsid w:val="00546D81"/>
    <w:rsid w:val="005475B5"/>
    <w:rsid w:val="00550294"/>
    <w:rsid w:val="005502B3"/>
    <w:rsid w:val="0055041A"/>
    <w:rsid w:val="005509B1"/>
    <w:rsid w:val="00550C2F"/>
    <w:rsid w:val="0055202F"/>
    <w:rsid w:val="00552990"/>
    <w:rsid w:val="00555E86"/>
    <w:rsid w:val="00556878"/>
    <w:rsid w:val="00557337"/>
    <w:rsid w:val="00557539"/>
    <w:rsid w:val="005576C3"/>
    <w:rsid w:val="0056012E"/>
    <w:rsid w:val="0056047F"/>
    <w:rsid w:val="00561476"/>
    <w:rsid w:val="00561869"/>
    <w:rsid w:val="00561BED"/>
    <w:rsid w:val="00561D2D"/>
    <w:rsid w:val="00561D98"/>
    <w:rsid w:val="00561E40"/>
    <w:rsid w:val="005628B0"/>
    <w:rsid w:val="00564BE7"/>
    <w:rsid w:val="00564DBC"/>
    <w:rsid w:val="00564DF3"/>
    <w:rsid w:val="00565081"/>
    <w:rsid w:val="0056527D"/>
    <w:rsid w:val="00565B98"/>
    <w:rsid w:val="00565DA9"/>
    <w:rsid w:val="00565DBC"/>
    <w:rsid w:val="00565F2F"/>
    <w:rsid w:val="0056632C"/>
    <w:rsid w:val="005664D3"/>
    <w:rsid w:val="00570ADA"/>
    <w:rsid w:val="005719AB"/>
    <w:rsid w:val="00571A71"/>
    <w:rsid w:val="00571F1D"/>
    <w:rsid w:val="00572768"/>
    <w:rsid w:val="00572CD5"/>
    <w:rsid w:val="005735BA"/>
    <w:rsid w:val="00573E85"/>
    <w:rsid w:val="00573EF2"/>
    <w:rsid w:val="005743A1"/>
    <w:rsid w:val="005744F0"/>
    <w:rsid w:val="00574559"/>
    <w:rsid w:val="0057695F"/>
    <w:rsid w:val="00577190"/>
    <w:rsid w:val="005773BA"/>
    <w:rsid w:val="005773CD"/>
    <w:rsid w:val="0057763F"/>
    <w:rsid w:val="00577CE1"/>
    <w:rsid w:val="00577EAA"/>
    <w:rsid w:val="00577FBE"/>
    <w:rsid w:val="0058288C"/>
    <w:rsid w:val="00582C1D"/>
    <w:rsid w:val="00582D24"/>
    <w:rsid w:val="00583AC2"/>
    <w:rsid w:val="005843AF"/>
    <w:rsid w:val="005845F2"/>
    <w:rsid w:val="00584DA2"/>
    <w:rsid w:val="00584FED"/>
    <w:rsid w:val="005850D6"/>
    <w:rsid w:val="005865A2"/>
    <w:rsid w:val="00586DE1"/>
    <w:rsid w:val="00587018"/>
    <w:rsid w:val="0058703F"/>
    <w:rsid w:val="00587212"/>
    <w:rsid w:val="0059070D"/>
    <w:rsid w:val="00590E43"/>
    <w:rsid w:val="00590ED4"/>
    <w:rsid w:val="005913FD"/>
    <w:rsid w:val="005915DC"/>
    <w:rsid w:val="00591AED"/>
    <w:rsid w:val="00591EBF"/>
    <w:rsid w:val="00591F38"/>
    <w:rsid w:val="005920BE"/>
    <w:rsid w:val="00592181"/>
    <w:rsid w:val="00592BFC"/>
    <w:rsid w:val="0059317F"/>
    <w:rsid w:val="005942CB"/>
    <w:rsid w:val="00594C28"/>
    <w:rsid w:val="0059516F"/>
    <w:rsid w:val="005956BB"/>
    <w:rsid w:val="00595873"/>
    <w:rsid w:val="00595B16"/>
    <w:rsid w:val="00596611"/>
    <w:rsid w:val="00596C47"/>
    <w:rsid w:val="00596FC9"/>
    <w:rsid w:val="0059768F"/>
    <w:rsid w:val="00597BB7"/>
    <w:rsid w:val="005A0505"/>
    <w:rsid w:val="005A0C1D"/>
    <w:rsid w:val="005A1C54"/>
    <w:rsid w:val="005A22BA"/>
    <w:rsid w:val="005A2C36"/>
    <w:rsid w:val="005A309D"/>
    <w:rsid w:val="005A3D06"/>
    <w:rsid w:val="005A4C43"/>
    <w:rsid w:val="005A64CF"/>
    <w:rsid w:val="005A72B6"/>
    <w:rsid w:val="005A7443"/>
    <w:rsid w:val="005A79BA"/>
    <w:rsid w:val="005A79BC"/>
    <w:rsid w:val="005A7C0F"/>
    <w:rsid w:val="005B026E"/>
    <w:rsid w:val="005B1992"/>
    <w:rsid w:val="005B1B7B"/>
    <w:rsid w:val="005B2165"/>
    <w:rsid w:val="005B2524"/>
    <w:rsid w:val="005B4CDB"/>
    <w:rsid w:val="005B5082"/>
    <w:rsid w:val="005B5A2D"/>
    <w:rsid w:val="005B5CB6"/>
    <w:rsid w:val="005B69C9"/>
    <w:rsid w:val="005B6A10"/>
    <w:rsid w:val="005B744B"/>
    <w:rsid w:val="005B76A3"/>
    <w:rsid w:val="005B7AFB"/>
    <w:rsid w:val="005C09D5"/>
    <w:rsid w:val="005C119D"/>
    <w:rsid w:val="005C1A55"/>
    <w:rsid w:val="005C1D19"/>
    <w:rsid w:val="005C237C"/>
    <w:rsid w:val="005C2483"/>
    <w:rsid w:val="005C2CAF"/>
    <w:rsid w:val="005C4224"/>
    <w:rsid w:val="005C4605"/>
    <w:rsid w:val="005C7228"/>
    <w:rsid w:val="005C7F17"/>
    <w:rsid w:val="005D0107"/>
    <w:rsid w:val="005D0A09"/>
    <w:rsid w:val="005D164C"/>
    <w:rsid w:val="005D183C"/>
    <w:rsid w:val="005D2271"/>
    <w:rsid w:val="005D2B0C"/>
    <w:rsid w:val="005D3720"/>
    <w:rsid w:val="005D381E"/>
    <w:rsid w:val="005D44A0"/>
    <w:rsid w:val="005D49FA"/>
    <w:rsid w:val="005D5503"/>
    <w:rsid w:val="005D5E3C"/>
    <w:rsid w:val="005D601E"/>
    <w:rsid w:val="005D662B"/>
    <w:rsid w:val="005D6CED"/>
    <w:rsid w:val="005D748C"/>
    <w:rsid w:val="005D77A9"/>
    <w:rsid w:val="005D78A7"/>
    <w:rsid w:val="005E07EC"/>
    <w:rsid w:val="005E0A6D"/>
    <w:rsid w:val="005E0BBF"/>
    <w:rsid w:val="005E1AF5"/>
    <w:rsid w:val="005E2406"/>
    <w:rsid w:val="005E26DD"/>
    <w:rsid w:val="005E2951"/>
    <w:rsid w:val="005E296D"/>
    <w:rsid w:val="005E34EF"/>
    <w:rsid w:val="005E45A8"/>
    <w:rsid w:val="005E47BF"/>
    <w:rsid w:val="005E51CE"/>
    <w:rsid w:val="005E56EA"/>
    <w:rsid w:val="005E5C6E"/>
    <w:rsid w:val="005E6042"/>
    <w:rsid w:val="005E698A"/>
    <w:rsid w:val="005E713C"/>
    <w:rsid w:val="005F06E6"/>
    <w:rsid w:val="005F0C80"/>
    <w:rsid w:val="005F13B8"/>
    <w:rsid w:val="005F42E0"/>
    <w:rsid w:val="005F49CA"/>
    <w:rsid w:val="005F5031"/>
    <w:rsid w:val="005F5698"/>
    <w:rsid w:val="005F5C4B"/>
    <w:rsid w:val="005F5EF8"/>
    <w:rsid w:val="005F6060"/>
    <w:rsid w:val="005F6093"/>
    <w:rsid w:val="005F6152"/>
    <w:rsid w:val="005F623F"/>
    <w:rsid w:val="005F6DA8"/>
    <w:rsid w:val="005F71F5"/>
    <w:rsid w:val="005F79D6"/>
    <w:rsid w:val="00600166"/>
    <w:rsid w:val="00600EAC"/>
    <w:rsid w:val="006029AA"/>
    <w:rsid w:val="00602CAA"/>
    <w:rsid w:val="00603175"/>
    <w:rsid w:val="00603670"/>
    <w:rsid w:val="00603D60"/>
    <w:rsid w:val="00603DFD"/>
    <w:rsid w:val="00604306"/>
    <w:rsid w:val="00604406"/>
    <w:rsid w:val="00604412"/>
    <w:rsid w:val="0060521B"/>
    <w:rsid w:val="00606731"/>
    <w:rsid w:val="00606A13"/>
    <w:rsid w:val="00610201"/>
    <w:rsid w:val="00610330"/>
    <w:rsid w:val="006108E6"/>
    <w:rsid w:val="00610B4F"/>
    <w:rsid w:val="00610D21"/>
    <w:rsid w:val="00611B06"/>
    <w:rsid w:val="0061229D"/>
    <w:rsid w:val="00613173"/>
    <w:rsid w:val="00613715"/>
    <w:rsid w:val="006138FE"/>
    <w:rsid w:val="00613B7F"/>
    <w:rsid w:val="0061451C"/>
    <w:rsid w:val="00614CF2"/>
    <w:rsid w:val="00614FC8"/>
    <w:rsid w:val="00615373"/>
    <w:rsid w:val="00615827"/>
    <w:rsid w:val="00615C17"/>
    <w:rsid w:val="0061622B"/>
    <w:rsid w:val="00616450"/>
    <w:rsid w:val="006170D2"/>
    <w:rsid w:val="00617A22"/>
    <w:rsid w:val="00617BF3"/>
    <w:rsid w:val="00617C06"/>
    <w:rsid w:val="00620C8B"/>
    <w:rsid w:val="006216E8"/>
    <w:rsid w:val="006222F4"/>
    <w:rsid w:val="00622DE3"/>
    <w:rsid w:val="0062324F"/>
    <w:rsid w:val="00623F58"/>
    <w:rsid w:val="006240B2"/>
    <w:rsid w:val="00624F97"/>
    <w:rsid w:val="0062578F"/>
    <w:rsid w:val="00625E03"/>
    <w:rsid w:val="00626728"/>
    <w:rsid w:val="0062679D"/>
    <w:rsid w:val="00626BA3"/>
    <w:rsid w:val="00626C3F"/>
    <w:rsid w:val="00627921"/>
    <w:rsid w:val="00627C3A"/>
    <w:rsid w:val="006311DA"/>
    <w:rsid w:val="0063285B"/>
    <w:rsid w:val="00632F93"/>
    <w:rsid w:val="00633627"/>
    <w:rsid w:val="00633851"/>
    <w:rsid w:val="00633F80"/>
    <w:rsid w:val="0063448B"/>
    <w:rsid w:val="00634A30"/>
    <w:rsid w:val="00634D9A"/>
    <w:rsid w:val="00634ED4"/>
    <w:rsid w:val="00635F8D"/>
    <w:rsid w:val="00637012"/>
    <w:rsid w:val="00637041"/>
    <w:rsid w:val="006371C0"/>
    <w:rsid w:val="00637577"/>
    <w:rsid w:val="00637D59"/>
    <w:rsid w:val="00640603"/>
    <w:rsid w:val="00640774"/>
    <w:rsid w:val="00640CB6"/>
    <w:rsid w:val="00640E2F"/>
    <w:rsid w:val="0064138B"/>
    <w:rsid w:val="006414F8"/>
    <w:rsid w:val="00641653"/>
    <w:rsid w:val="006417B1"/>
    <w:rsid w:val="00642659"/>
    <w:rsid w:val="00642EB8"/>
    <w:rsid w:val="00642F20"/>
    <w:rsid w:val="00643CE6"/>
    <w:rsid w:val="00644542"/>
    <w:rsid w:val="0064488B"/>
    <w:rsid w:val="0064489E"/>
    <w:rsid w:val="00644905"/>
    <w:rsid w:val="00644C59"/>
    <w:rsid w:val="00644DC0"/>
    <w:rsid w:val="00645D37"/>
    <w:rsid w:val="00646E0A"/>
    <w:rsid w:val="00646F29"/>
    <w:rsid w:val="00646F78"/>
    <w:rsid w:val="00647BAE"/>
    <w:rsid w:val="00647F8A"/>
    <w:rsid w:val="006502DB"/>
    <w:rsid w:val="006512A8"/>
    <w:rsid w:val="006517FD"/>
    <w:rsid w:val="006529C3"/>
    <w:rsid w:val="00653C05"/>
    <w:rsid w:val="006541BD"/>
    <w:rsid w:val="006547E1"/>
    <w:rsid w:val="00654EA9"/>
    <w:rsid w:val="006551ED"/>
    <w:rsid w:val="0065554B"/>
    <w:rsid w:val="00655B9B"/>
    <w:rsid w:val="00656149"/>
    <w:rsid w:val="00656D2B"/>
    <w:rsid w:val="00657843"/>
    <w:rsid w:val="0066006D"/>
    <w:rsid w:val="006603C8"/>
    <w:rsid w:val="006603F6"/>
    <w:rsid w:val="00660589"/>
    <w:rsid w:val="006608F3"/>
    <w:rsid w:val="00661771"/>
    <w:rsid w:val="00661A0A"/>
    <w:rsid w:val="0066203A"/>
    <w:rsid w:val="00662512"/>
    <w:rsid w:val="00662B9F"/>
    <w:rsid w:val="00662D18"/>
    <w:rsid w:val="00662E40"/>
    <w:rsid w:val="00663DF1"/>
    <w:rsid w:val="00663FDB"/>
    <w:rsid w:val="00664010"/>
    <w:rsid w:val="0066474B"/>
    <w:rsid w:val="006647D9"/>
    <w:rsid w:val="0066557C"/>
    <w:rsid w:val="0066599B"/>
    <w:rsid w:val="00665B00"/>
    <w:rsid w:val="00665FC7"/>
    <w:rsid w:val="00666374"/>
    <w:rsid w:val="00666414"/>
    <w:rsid w:val="0066686F"/>
    <w:rsid w:val="00666E8A"/>
    <w:rsid w:val="006679B8"/>
    <w:rsid w:val="00670948"/>
    <w:rsid w:val="006714ED"/>
    <w:rsid w:val="006716E2"/>
    <w:rsid w:val="006719E6"/>
    <w:rsid w:val="006723C1"/>
    <w:rsid w:val="00672988"/>
    <w:rsid w:val="006738FB"/>
    <w:rsid w:val="00673D02"/>
    <w:rsid w:val="00673E5B"/>
    <w:rsid w:val="00674702"/>
    <w:rsid w:val="00674BF8"/>
    <w:rsid w:val="00676A92"/>
    <w:rsid w:val="00677F52"/>
    <w:rsid w:val="00680E11"/>
    <w:rsid w:val="0068131F"/>
    <w:rsid w:val="0068183A"/>
    <w:rsid w:val="00682179"/>
    <w:rsid w:val="00682E5F"/>
    <w:rsid w:val="006844C4"/>
    <w:rsid w:val="00684C53"/>
    <w:rsid w:val="00684D2E"/>
    <w:rsid w:val="0068521D"/>
    <w:rsid w:val="006857CD"/>
    <w:rsid w:val="00685D6F"/>
    <w:rsid w:val="006869FB"/>
    <w:rsid w:val="00686A9C"/>
    <w:rsid w:val="00686F4D"/>
    <w:rsid w:val="0068736A"/>
    <w:rsid w:val="006876F0"/>
    <w:rsid w:val="00687B20"/>
    <w:rsid w:val="006901F4"/>
    <w:rsid w:val="0069065F"/>
    <w:rsid w:val="0069089D"/>
    <w:rsid w:val="00690DC3"/>
    <w:rsid w:val="00691778"/>
    <w:rsid w:val="00691990"/>
    <w:rsid w:val="00693175"/>
    <w:rsid w:val="0069321A"/>
    <w:rsid w:val="00693E65"/>
    <w:rsid w:val="00693FF6"/>
    <w:rsid w:val="0069432C"/>
    <w:rsid w:val="006945D0"/>
    <w:rsid w:val="006947B9"/>
    <w:rsid w:val="00694915"/>
    <w:rsid w:val="0069558B"/>
    <w:rsid w:val="00695A01"/>
    <w:rsid w:val="00695DB9"/>
    <w:rsid w:val="00696BAC"/>
    <w:rsid w:val="00696FDD"/>
    <w:rsid w:val="0069722A"/>
    <w:rsid w:val="00697C9E"/>
    <w:rsid w:val="006A053D"/>
    <w:rsid w:val="006A0610"/>
    <w:rsid w:val="006A064B"/>
    <w:rsid w:val="006A0836"/>
    <w:rsid w:val="006A08C2"/>
    <w:rsid w:val="006A0973"/>
    <w:rsid w:val="006A0A2B"/>
    <w:rsid w:val="006A0BC7"/>
    <w:rsid w:val="006A13DB"/>
    <w:rsid w:val="006A1857"/>
    <w:rsid w:val="006A1EE0"/>
    <w:rsid w:val="006A243E"/>
    <w:rsid w:val="006A279A"/>
    <w:rsid w:val="006A2853"/>
    <w:rsid w:val="006A2DFB"/>
    <w:rsid w:val="006A2F82"/>
    <w:rsid w:val="006A3465"/>
    <w:rsid w:val="006A3883"/>
    <w:rsid w:val="006A3AB3"/>
    <w:rsid w:val="006A3FEF"/>
    <w:rsid w:val="006A4425"/>
    <w:rsid w:val="006A4802"/>
    <w:rsid w:val="006A48F5"/>
    <w:rsid w:val="006A4A33"/>
    <w:rsid w:val="006A50A0"/>
    <w:rsid w:val="006A5674"/>
    <w:rsid w:val="006A628A"/>
    <w:rsid w:val="006A631C"/>
    <w:rsid w:val="006A6415"/>
    <w:rsid w:val="006A7534"/>
    <w:rsid w:val="006B104D"/>
    <w:rsid w:val="006B1F22"/>
    <w:rsid w:val="006B2171"/>
    <w:rsid w:val="006B2295"/>
    <w:rsid w:val="006B2994"/>
    <w:rsid w:val="006B2A36"/>
    <w:rsid w:val="006B2C39"/>
    <w:rsid w:val="006B3268"/>
    <w:rsid w:val="006B3643"/>
    <w:rsid w:val="006B3A24"/>
    <w:rsid w:val="006B4060"/>
    <w:rsid w:val="006B45AD"/>
    <w:rsid w:val="006B4D29"/>
    <w:rsid w:val="006B4E66"/>
    <w:rsid w:val="006B4F02"/>
    <w:rsid w:val="006B56E8"/>
    <w:rsid w:val="006B606E"/>
    <w:rsid w:val="006B7878"/>
    <w:rsid w:val="006B7DFC"/>
    <w:rsid w:val="006C04B3"/>
    <w:rsid w:val="006C0632"/>
    <w:rsid w:val="006C0A34"/>
    <w:rsid w:val="006C1649"/>
    <w:rsid w:val="006C25A3"/>
    <w:rsid w:val="006C295F"/>
    <w:rsid w:val="006C2DBE"/>
    <w:rsid w:val="006C3A48"/>
    <w:rsid w:val="006C4029"/>
    <w:rsid w:val="006C43F0"/>
    <w:rsid w:val="006C4B78"/>
    <w:rsid w:val="006C5548"/>
    <w:rsid w:val="006C5664"/>
    <w:rsid w:val="006C592C"/>
    <w:rsid w:val="006C5BC1"/>
    <w:rsid w:val="006C5DAC"/>
    <w:rsid w:val="006C5FDC"/>
    <w:rsid w:val="006C61BA"/>
    <w:rsid w:val="006C6737"/>
    <w:rsid w:val="006C6F20"/>
    <w:rsid w:val="006C79DF"/>
    <w:rsid w:val="006C7CF2"/>
    <w:rsid w:val="006C7D1F"/>
    <w:rsid w:val="006D108B"/>
    <w:rsid w:val="006D16DC"/>
    <w:rsid w:val="006D1827"/>
    <w:rsid w:val="006D1C68"/>
    <w:rsid w:val="006D2257"/>
    <w:rsid w:val="006D2B74"/>
    <w:rsid w:val="006D3ADB"/>
    <w:rsid w:val="006D3C9E"/>
    <w:rsid w:val="006D4005"/>
    <w:rsid w:val="006D4038"/>
    <w:rsid w:val="006D4358"/>
    <w:rsid w:val="006D5023"/>
    <w:rsid w:val="006D526F"/>
    <w:rsid w:val="006D52D3"/>
    <w:rsid w:val="006D6B56"/>
    <w:rsid w:val="006E17FC"/>
    <w:rsid w:val="006E1FBB"/>
    <w:rsid w:val="006E25E4"/>
    <w:rsid w:val="006E26A8"/>
    <w:rsid w:val="006E27DE"/>
    <w:rsid w:val="006E2A11"/>
    <w:rsid w:val="006E415B"/>
    <w:rsid w:val="006E46DA"/>
    <w:rsid w:val="006E49CA"/>
    <w:rsid w:val="006E5328"/>
    <w:rsid w:val="006E548A"/>
    <w:rsid w:val="006E59CA"/>
    <w:rsid w:val="006E61D8"/>
    <w:rsid w:val="006E6591"/>
    <w:rsid w:val="006E6D49"/>
    <w:rsid w:val="006E7240"/>
    <w:rsid w:val="006F2256"/>
    <w:rsid w:val="006F233A"/>
    <w:rsid w:val="006F2489"/>
    <w:rsid w:val="006F2723"/>
    <w:rsid w:val="006F354C"/>
    <w:rsid w:val="006F3763"/>
    <w:rsid w:val="006F3AEC"/>
    <w:rsid w:val="006F3B8C"/>
    <w:rsid w:val="006F4412"/>
    <w:rsid w:val="006F4D05"/>
    <w:rsid w:val="006F4DBE"/>
    <w:rsid w:val="006F52C3"/>
    <w:rsid w:val="006F5481"/>
    <w:rsid w:val="006F553E"/>
    <w:rsid w:val="006F5677"/>
    <w:rsid w:val="006F6544"/>
    <w:rsid w:val="006F6A72"/>
    <w:rsid w:val="006F6AB8"/>
    <w:rsid w:val="006F6F47"/>
    <w:rsid w:val="006F7735"/>
    <w:rsid w:val="00700606"/>
    <w:rsid w:val="007010D7"/>
    <w:rsid w:val="0070206A"/>
    <w:rsid w:val="0070336F"/>
    <w:rsid w:val="007047D3"/>
    <w:rsid w:val="007057CF"/>
    <w:rsid w:val="00706ECB"/>
    <w:rsid w:val="0070731B"/>
    <w:rsid w:val="0070753F"/>
    <w:rsid w:val="00707708"/>
    <w:rsid w:val="00711945"/>
    <w:rsid w:val="00711BEA"/>
    <w:rsid w:val="00711F0C"/>
    <w:rsid w:val="00712943"/>
    <w:rsid w:val="00712BFC"/>
    <w:rsid w:val="0071327F"/>
    <w:rsid w:val="00713295"/>
    <w:rsid w:val="0071382F"/>
    <w:rsid w:val="00714083"/>
    <w:rsid w:val="00714A5D"/>
    <w:rsid w:val="00714BA3"/>
    <w:rsid w:val="00714C85"/>
    <w:rsid w:val="007151BB"/>
    <w:rsid w:val="007159BB"/>
    <w:rsid w:val="00715ED6"/>
    <w:rsid w:val="00716253"/>
    <w:rsid w:val="007166C8"/>
    <w:rsid w:val="00716B46"/>
    <w:rsid w:val="0071712B"/>
    <w:rsid w:val="00717357"/>
    <w:rsid w:val="007173DD"/>
    <w:rsid w:val="00717A87"/>
    <w:rsid w:val="0072019B"/>
    <w:rsid w:val="0072050D"/>
    <w:rsid w:val="00720DE8"/>
    <w:rsid w:val="007210A7"/>
    <w:rsid w:val="00722806"/>
    <w:rsid w:val="00722E54"/>
    <w:rsid w:val="00722FBC"/>
    <w:rsid w:val="007230E6"/>
    <w:rsid w:val="007234E7"/>
    <w:rsid w:val="00723761"/>
    <w:rsid w:val="00723F5C"/>
    <w:rsid w:val="00724CE9"/>
    <w:rsid w:val="0072599A"/>
    <w:rsid w:val="007261A8"/>
    <w:rsid w:val="00727D83"/>
    <w:rsid w:val="0073018D"/>
    <w:rsid w:val="0073032D"/>
    <w:rsid w:val="007306CF"/>
    <w:rsid w:val="00730FFE"/>
    <w:rsid w:val="00731A70"/>
    <w:rsid w:val="007327C5"/>
    <w:rsid w:val="00732BCD"/>
    <w:rsid w:val="00732F05"/>
    <w:rsid w:val="0073414C"/>
    <w:rsid w:val="007352F0"/>
    <w:rsid w:val="00736823"/>
    <w:rsid w:val="00736910"/>
    <w:rsid w:val="00736B12"/>
    <w:rsid w:val="007374F7"/>
    <w:rsid w:val="00737F6A"/>
    <w:rsid w:val="00740EC0"/>
    <w:rsid w:val="00741533"/>
    <w:rsid w:val="007420B4"/>
    <w:rsid w:val="00742AA5"/>
    <w:rsid w:val="007434DB"/>
    <w:rsid w:val="0074419A"/>
    <w:rsid w:val="007446B0"/>
    <w:rsid w:val="00744945"/>
    <w:rsid w:val="007454C5"/>
    <w:rsid w:val="00745536"/>
    <w:rsid w:val="00746A1D"/>
    <w:rsid w:val="007477DF"/>
    <w:rsid w:val="007502C8"/>
    <w:rsid w:val="0075047A"/>
    <w:rsid w:val="00750F15"/>
    <w:rsid w:val="00752B93"/>
    <w:rsid w:val="00753395"/>
    <w:rsid w:val="007543F6"/>
    <w:rsid w:val="00754890"/>
    <w:rsid w:val="00755778"/>
    <w:rsid w:val="00755A77"/>
    <w:rsid w:val="00755C9B"/>
    <w:rsid w:val="007577C9"/>
    <w:rsid w:val="0075783A"/>
    <w:rsid w:val="00757A8A"/>
    <w:rsid w:val="00757F3E"/>
    <w:rsid w:val="007608A3"/>
    <w:rsid w:val="00760A0C"/>
    <w:rsid w:val="0076112E"/>
    <w:rsid w:val="00761D00"/>
    <w:rsid w:val="007620FD"/>
    <w:rsid w:val="007621EA"/>
    <w:rsid w:val="00763EF7"/>
    <w:rsid w:val="00764840"/>
    <w:rsid w:val="00764CB0"/>
    <w:rsid w:val="00765458"/>
    <w:rsid w:val="007655EC"/>
    <w:rsid w:val="00765B67"/>
    <w:rsid w:val="0076673B"/>
    <w:rsid w:val="00766BF0"/>
    <w:rsid w:val="00767C59"/>
    <w:rsid w:val="00767CE0"/>
    <w:rsid w:val="0077062C"/>
    <w:rsid w:val="0077111C"/>
    <w:rsid w:val="00771227"/>
    <w:rsid w:val="00771272"/>
    <w:rsid w:val="00771BF7"/>
    <w:rsid w:val="00772B0D"/>
    <w:rsid w:val="007731CE"/>
    <w:rsid w:val="00773D4B"/>
    <w:rsid w:val="007748B1"/>
    <w:rsid w:val="00774A50"/>
    <w:rsid w:val="00774FB5"/>
    <w:rsid w:val="00775497"/>
    <w:rsid w:val="00776A76"/>
    <w:rsid w:val="00776CD7"/>
    <w:rsid w:val="00776F81"/>
    <w:rsid w:val="00777084"/>
    <w:rsid w:val="007779C9"/>
    <w:rsid w:val="00777BD6"/>
    <w:rsid w:val="007801EE"/>
    <w:rsid w:val="007807E2"/>
    <w:rsid w:val="00780FB7"/>
    <w:rsid w:val="00781853"/>
    <w:rsid w:val="00782317"/>
    <w:rsid w:val="0078269F"/>
    <w:rsid w:val="00782EAA"/>
    <w:rsid w:val="007834A2"/>
    <w:rsid w:val="00784468"/>
    <w:rsid w:val="00786D56"/>
    <w:rsid w:val="00786FB6"/>
    <w:rsid w:val="007875FC"/>
    <w:rsid w:val="00787C8D"/>
    <w:rsid w:val="007904C3"/>
    <w:rsid w:val="007911B1"/>
    <w:rsid w:val="00792E6E"/>
    <w:rsid w:val="00793B26"/>
    <w:rsid w:val="00794121"/>
    <w:rsid w:val="00794346"/>
    <w:rsid w:val="0079447D"/>
    <w:rsid w:val="0079476A"/>
    <w:rsid w:val="00794C73"/>
    <w:rsid w:val="00795CDA"/>
    <w:rsid w:val="0079631B"/>
    <w:rsid w:val="007964EB"/>
    <w:rsid w:val="00796903"/>
    <w:rsid w:val="00796909"/>
    <w:rsid w:val="0079717F"/>
    <w:rsid w:val="007974D5"/>
    <w:rsid w:val="00797753"/>
    <w:rsid w:val="00797FA2"/>
    <w:rsid w:val="007A0ED9"/>
    <w:rsid w:val="007A0F93"/>
    <w:rsid w:val="007A101D"/>
    <w:rsid w:val="007A1C38"/>
    <w:rsid w:val="007A1CC2"/>
    <w:rsid w:val="007A2944"/>
    <w:rsid w:val="007A2EAC"/>
    <w:rsid w:val="007A3381"/>
    <w:rsid w:val="007A3DCA"/>
    <w:rsid w:val="007A430D"/>
    <w:rsid w:val="007A4702"/>
    <w:rsid w:val="007A4AAF"/>
    <w:rsid w:val="007A4E37"/>
    <w:rsid w:val="007A4E9E"/>
    <w:rsid w:val="007A4F6D"/>
    <w:rsid w:val="007A507A"/>
    <w:rsid w:val="007A514B"/>
    <w:rsid w:val="007A5554"/>
    <w:rsid w:val="007A68BF"/>
    <w:rsid w:val="007A68E1"/>
    <w:rsid w:val="007A7797"/>
    <w:rsid w:val="007A786B"/>
    <w:rsid w:val="007A7875"/>
    <w:rsid w:val="007B0678"/>
    <w:rsid w:val="007B0A00"/>
    <w:rsid w:val="007B0B0D"/>
    <w:rsid w:val="007B1859"/>
    <w:rsid w:val="007B2B5E"/>
    <w:rsid w:val="007B3F28"/>
    <w:rsid w:val="007B4590"/>
    <w:rsid w:val="007B4B73"/>
    <w:rsid w:val="007B5109"/>
    <w:rsid w:val="007B600A"/>
    <w:rsid w:val="007B78BF"/>
    <w:rsid w:val="007B7A98"/>
    <w:rsid w:val="007B7ADF"/>
    <w:rsid w:val="007B7B0D"/>
    <w:rsid w:val="007B7C99"/>
    <w:rsid w:val="007C0F68"/>
    <w:rsid w:val="007C26B0"/>
    <w:rsid w:val="007C2CA7"/>
    <w:rsid w:val="007C376D"/>
    <w:rsid w:val="007C456C"/>
    <w:rsid w:val="007C49E1"/>
    <w:rsid w:val="007C55E1"/>
    <w:rsid w:val="007C5958"/>
    <w:rsid w:val="007C6477"/>
    <w:rsid w:val="007C7D4D"/>
    <w:rsid w:val="007D0342"/>
    <w:rsid w:val="007D05F0"/>
    <w:rsid w:val="007D0916"/>
    <w:rsid w:val="007D0E1B"/>
    <w:rsid w:val="007D0E4C"/>
    <w:rsid w:val="007D19FC"/>
    <w:rsid w:val="007D1CBB"/>
    <w:rsid w:val="007D2223"/>
    <w:rsid w:val="007D27E2"/>
    <w:rsid w:val="007D378E"/>
    <w:rsid w:val="007D4135"/>
    <w:rsid w:val="007D467E"/>
    <w:rsid w:val="007D4D77"/>
    <w:rsid w:val="007D568D"/>
    <w:rsid w:val="007D5874"/>
    <w:rsid w:val="007D5972"/>
    <w:rsid w:val="007D5A10"/>
    <w:rsid w:val="007D5BA2"/>
    <w:rsid w:val="007D60E6"/>
    <w:rsid w:val="007D74C8"/>
    <w:rsid w:val="007D792F"/>
    <w:rsid w:val="007E05B8"/>
    <w:rsid w:val="007E1346"/>
    <w:rsid w:val="007E23E5"/>
    <w:rsid w:val="007E293D"/>
    <w:rsid w:val="007E2B98"/>
    <w:rsid w:val="007E3446"/>
    <w:rsid w:val="007E34B1"/>
    <w:rsid w:val="007E447F"/>
    <w:rsid w:val="007E4602"/>
    <w:rsid w:val="007E6498"/>
    <w:rsid w:val="007E64CF"/>
    <w:rsid w:val="007E6A99"/>
    <w:rsid w:val="007E6F24"/>
    <w:rsid w:val="007E6F50"/>
    <w:rsid w:val="007E6F81"/>
    <w:rsid w:val="007E7345"/>
    <w:rsid w:val="007E771B"/>
    <w:rsid w:val="007F0342"/>
    <w:rsid w:val="007F035D"/>
    <w:rsid w:val="007F102F"/>
    <w:rsid w:val="007F15DE"/>
    <w:rsid w:val="007F17B8"/>
    <w:rsid w:val="007F192A"/>
    <w:rsid w:val="007F1A7A"/>
    <w:rsid w:val="007F1D9E"/>
    <w:rsid w:val="007F24B9"/>
    <w:rsid w:val="007F2901"/>
    <w:rsid w:val="007F2E5D"/>
    <w:rsid w:val="007F33E6"/>
    <w:rsid w:val="007F3BEB"/>
    <w:rsid w:val="007F485D"/>
    <w:rsid w:val="007F5261"/>
    <w:rsid w:val="007F641D"/>
    <w:rsid w:val="007F6515"/>
    <w:rsid w:val="007F67CE"/>
    <w:rsid w:val="007F7B20"/>
    <w:rsid w:val="0080246D"/>
    <w:rsid w:val="008024B7"/>
    <w:rsid w:val="0080252C"/>
    <w:rsid w:val="00802C75"/>
    <w:rsid w:val="008044E4"/>
    <w:rsid w:val="008051D2"/>
    <w:rsid w:val="00805BBC"/>
    <w:rsid w:val="00806574"/>
    <w:rsid w:val="008068D6"/>
    <w:rsid w:val="008068E4"/>
    <w:rsid w:val="00806B07"/>
    <w:rsid w:val="00807303"/>
    <w:rsid w:val="00807D1B"/>
    <w:rsid w:val="00807E0A"/>
    <w:rsid w:val="00807ED6"/>
    <w:rsid w:val="00810733"/>
    <w:rsid w:val="00810DAB"/>
    <w:rsid w:val="00811CC4"/>
    <w:rsid w:val="00811E3C"/>
    <w:rsid w:val="008124FB"/>
    <w:rsid w:val="00812E55"/>
    <w:rsid w:val="0081469C"/>
    <w:rsid w:val="00815252"/>
    <w:rsid w:val="0081525F"/>
    <w:rsid w:val="00815C61"/>
    <w:rsid w:val="00815D18"/>
    <w:rsid w:val="00816209"/>
    <w:rsid w:val="008167D8"/>
    <w:rsid w:val="00816822"/>
    <w:rsid w:val="00816EB3"/>
    <w:rsid w:val="00817D8E"/>
    <w:rsid w:val="00817E10"/>
    <w:rsid w:val="00817E6B"/>
    <w:rsid w:val="008200FF"/>
    <w:rsid w:val="008201CB"/>
    <w:rsid w:val="0082102D"/>
    <w:rsid w:val="00821109"/>
    <w:rsid w:val="008216C7"/>
    <w:rsid w:val="0082191F"/>
    <w:rsid w:val="00821AB4"/>
    <w:rsid w:val="00822A6E"/>
    <w:rsid w:val="008235B6"/>
    <w:rsid w:val="008242A2"/>
    <w:rsid w:val="00824427"/>
    <w:rsid w:val="008248DA"/>
    <w:rsid w:val="00825CD8"/>
    <w:rsid w:val="00826568"/>
    <w:rsid w:val="008266A5"/>
    <w:rsid w:val="008276AF"/>
    <w:rsid w:val="008279B3"/>
    <w:rsid w:val="00831736"/>
    <w:rsid w:val="00831A0B"/>
    <w:rsid w:val="0083295E"/>
    <w:rsid w:val="0083308B"/>
    <w:rsid w:val="00833BA4"/>
    <w:rsid w:val="0083483F"/>
    <w:rsid w:val="00834ADA"/>
    <w:rsid w:val="008360F1"/>
    <w:rsid w:val="0083616A"/>
    <w:rsid w:val="008361BA"/>
    <w:rsid w:val="00836800"/>
    <w:rsid w:val="00836CDF"/>
    <w:rsid w:val="00837183"/>
    <w:rsid w:val="00840378"/>
    <w:rsid w:val="00840C8D"/>
    <w:rsid w:val="0084127D"/>
    <w:rsid w:val="008426C0"/>
    <w:rsid w:val="0084301B"/>
    <w:rsid w:val="008447AD"/>
    <w:rsid w:val="00845268"/>
    <w:rsid w:val="0084627C"/>
    <w:rsid w:val="008467B5"/>
    <w:rsid w:val="00847587"/>
    <w:rsid w:val="00847C71"/>
    <w:rsid w:val="00850B4B"/>
    <w:rsid w:val="00851C48"/>
    <w:rsid w:val="008525A0"/>
    <w:rsid w:val="00852931"/>
    <w:rsid w:val="00852965"/>
    <w:rsid w:val="00853655"/>
    <w:rsid w:val="008538A7"/>
    <w:rsid w:val="00853DD9"/>
    <w:rsid w:val="00853E12"/>
    <w:rsid w:val="00854BC4"/>
    <w:rsid w:val="0085546F"/>
    <w:rsid w:val="008557F4"/>
    <w:rsid w:val="008560B4"/>
    <w:rsid w:val="00856FDA"/>
    <w:rsid w:val="008572DB"/>
    <w:rsid w:val="0085774B"/>
    <w:rsid w:val="0086056D"/>
    <w:rsid w:val="00860C58"/>
    <w:rsid w:val="00860EDF"/>
    <w:rsid w:val="00860FFF"/>
    <w:rsid w:val="00861882"/>
    <w:rsid w:val="00861A64"/>
    <w:rsid w:val="00862AA3"/>
    <w:rsid w:val="00862E85"/>
    <w:rsid w:val="00863D4B"/>
    <w:rsid w:val="00863E4F"/>
    <w:rsid w:val="008641E7"/>
    <w:rsid w:val="00864E0B"/>
    <w:rsid w:val="00865CD5"/>
    <w:rsid w:val="00866465"/>
    <w:rsid w:val="00870FC6"/>
    <w:rsid w:val="00871024"/>
    <w:rsid w:val="0087168E"/>
    <w:rsid w:val="00871A37"/>
    <w:rsid w:val="00872027"/>
    <w:rsid w:val="008727E8"/>
    <w:rsid w:val="00872D4A"/>
    <w:rsid w:val="00873064"/>
    <w:rsid w:val="0087363B"/>
    <w:rsid w:val="00873780"/>
    <w:rsid w:val="0087382C"/>
    <w:rsid w:val="00873830"/>
    <w:rsid w:val="00873840"/>
    <w:rsid w:val="00873B0F"/>
    <w:rsid w:val="00874359"/>
    <w:rsid w:val="00874470"/>
    <w:rsid w:val="008746F8"/>
    <w:rsid w:val="00874FD9"/>
    <w:rsid w:val="0087505B"/>
    <w:rsid w:val="008751F8"/>
    <w:rsid w:val="0087592C"/>
    <w:rsid w:val="008766DF"/>
    <w:rsid w:val="00877C52"/>
    <w:rsid w:val="00881496"/>
    <w:rsid w:val="00881C03"/>
    <w:rsid w:val="00881F36"/>
    <w:rsid w:val="00881FDE"/>
    <w:rsid w:val="0088207E"/>
    <w:rsid w:val="00882133"/>
    <w:rsid w:val="008822F8"/>
    <w:rsid w:val="008829C9"/>
    <w:rsid w:val="0088356A"/>
    <w:rsid w:val="008835C7"/>
    <w:rsid w:val="008836F7"/>
    <w:rsid w:val="008837C4"/>
    <w:rsid w:val="0088400F"/>
    <w:rsid w:val="008845AE"/>
    <w:rsid w:val="0088608E"/>
    <w:rsid w:val="0088635F"/>
    <w:rsid w:val="0088674D"/>
    <w:rsid w:val="00887E05"/>
    <w:rsid w:val="00890B99"/>
    <w:rsid w:val="00890EAA"/>
    <w:rsid w:val="00890EDC"/>
    <w:rsid w:val="0089260C"/>
    <w:rsid w:val="00894A0B"/>
    <w:rsid w:val="00894F13"/>
    <w:rsid w:val="008955AC"/>
    <w:rsid w:val="00895769"/>
    <w:rsid w:val="00895832"/>
    <w:rsid w:val="00895B8C"/>
    <w:rsid w:val="00896047"/>
    <w:rsid w:val="00896098"/>
    <w:rsid w:val="0089672F"/>
    <w:rsid w:val="00896927"/>
    <w:rsid w:val="0089757A"/>
    <w:rsid w:val="0089772C"/>
    <w:rsid w:val="00897ABA"/>
    <w:rsid w:val="00897D4A"/>
    <w:rsid w:val="008A0081"/>
    <w:rsid w:val="008A05A9"/>
    <w:rsid w:val="008A16D9"/>
    <w:rsid w:val="008A228B"/>
    <w:rsid w:val="008A27FE"/>
    <w:rsid w:val="008A2DAC"/>
    <w:rsid w:val="008A2E38"/>
    <w:rsid w:val="008A2E52"/>
    <w:rsid w:val="008A36E3"/>
    <w:rsid w:val="008A3C17"/>
    <w:rsid w:val="008A4187"/>
    <w:rsid w:val="008A4D53"/>
    <w:rsid w:val="008A59C3"/>
    <w:rsid w:val="008A5BC4"/>
    <w:rsid w:val="008A5D8B"/>
    <w:rsid w:val="008A601E"/>
    <w:rsid w:val="008A61DB"/>
    <w:rsid w:val="008A64DE"/>
    <w:rsid w:val="008A7182"/>
    <w:rsid w:val="008A7675"/>
    <w:rsid w:val="008A7A15"/>
    <w:rsid w:val="008B034B"/>
    <w:rsid w:val="008B1218"/>
    <w:rsid w:val="008B126B"/>
    <w:rsid w:val="008B1E12"/>
    <w:rsid w:val="008B3696"/>
    <w:rsid w:val="008B374C"/>
    <w:rsid w:val="008B42C1"/>
    <w:rsid w:val="008B5E13"/>
    <w:rsid w:val="008B65F2"/>
    <w:rsid w:val="008B6DF1"/>
    <w:rsid w:val="008B6F0E"/>
    <w:rsid w:val="008B7629"/>
    <w:rsid w:val="008C01ED"/>
    <w:rsid w:val="008C0592"/>
    <w:rsid w:val="008C157F"/>
    <w:rsid w:val="008C20B6"/>
    <w:rsid w:val="008C2947"/>
    <w:rsid w:val="008C496A"/>
    <w:rsid w:val="008C4EAA"/>
    <w:rsid w:val="008C61D2"/>
    <w:rsid w:val="008C697B"/>
    <w:rsid w:val="008D048C"/>
    <w:rsid w:val="008D07F5"/>
    <w:rsid w:val="008D14EB"/>
    <w:rsid w:val="008D1A4D"/>
    <w:rsid w:val="008D1FC1"/>
    <w:rsid w:val="008D20A9"/>
    <w:rsid w:val="008D2DCF"/>
    <w:rsid w:val="008D36A4"/>
    <w:rsid w:val="008D3E89"/>
    <w:rsid w:val="008D4CEB"/>
    <w:rsid w:val="008D5871"/>
    <w:rsid w:val="008D5DBC"/>
    <w:rsid w:val="008D610B"/>
    <w:rsid w:val="008D61C2"/>
    <w:rsid w:val="008D64BD"/>
    <w:rsid w:val="008D660A"/>
    <w:rsid w:val="008D749B"/>
    <w:rsid w:val="008D7D4B"/>
    <w:rsid w:val="008E0438"/>
    <w:rsid w:val="008E0E4A"/>
    <w:rsid w:val="008E15B0"/>
    <w:rsid w:val="008E1622"/>
    <w:rsid w:val="008E1CD1"/>
    <w:rsid w:val="008E24EA"/>
    <w:rsid w:val="008E328C"/>
    <w:rsid w:val="008E3673"/>
    <w:rsid w:val="008E3F79"/>
    <w:rsid w:val="008E43C5"/>
    <w:rsid w:val="008E47F1"/>
    <w:rsid w:val="008E4C50"/>
    <w:rsid w:val="008E4F1B"/>
    <w:rsid w:val="008E4F81"/>
    <w:rsid w:val="008E5752"/>
    <w:rsid w:val="008E5C21"/>
    <w:rsid w:val="008E6388"/>
    <w:rsid w:val="008E64FB"/>
    <w:rsid w:val="008E67B9"/>
    <w:rsid w:val="008E6E16"/>
    <w:rsid w:val="008E7629"/>
    <w:rsid w:val="008F031E"/>
    <w:rsid w:val="008F07C0"/>
    <w:rsid w:val="008F13F6"/>
    <w:rsid w:val="008F1D42"/>
    <w:rsid w:val="008F1FFA"/>
    <w:rsid w:val="008F281A"/>
    <w:rsid w:val="008F299C"/>
    <w:rsid w:val="008F3228"/>
    <w:rsid w:val="008F364C"/>
    <w:rsid w:val="008F3BDC"/>
    <w:rsid w:val="008F3FC1"/>
    <w:rsid w:val="008F42C9"/>
    <w:rsid w:val="008F446C"/>
    <w:rsid w:val="008F50BC"/>
    <w:rsid w:val="008F50D3"/>
    <w:rsid w:val="008F530E"/>
    <w:rsid w:val="008F596F"/>
    <w:rsid w:val="008F5A22"/>
    <w:rsid w:val="008F6C34"/>
    <w:rsid w:val="008F73F9"/>
    <w:rsid w:val="008F76CE"/>
    <w:rsid w:val="008F7868"/>
    <w:rsid w:val="008F7DEF"/>
    <w:rsid w:val="008F7E43"/>
    <w:rsid w:val="00900179"/>
    <w:rsid w:val="00900312"/>
    <w:rsid w:val="00900454"/>
    <w:rsid w:val="00901AB4"/>
    <w:rsid w:val="00901D7F"/>
    <w:rsid w:val="009033B9"/>
    <w:rsid w:val="009033D3"/>
    <w:rsid w:val="009042DD"/>
    <w:rsid w:val="009042F2"/>
    <w:rsid w:val="00904F28"/>
    <w:rsid w:val="009053D9"/>
    <w:rsid w:val="00905767"/>
    <w:rsid w:val="009058F0"/>
    <w:rsid w:val="009067CF"/>
    <w:rsid w:val="00906910"/>
    <w:rsid w:val="0090734B"/>
    <w:rsid w:val="009076C5"/>
    <w:rsid w:val="00907B8A"/>
    <w:rsid w:val="0091063A"/>
    <w:rsid w:val="00911558"/>
    <w:rsid w:val="00911614"/>
    <w:rsid w:val="00911F85"/>
    <w:rsid w:val="00912080"/>
    <w:rsid w:val="00912098"/>
    <w:rsid w:val="0091212F"/>
    <w:rsid w:val="00912EAD"/>
    <w:rsid w:val="00913177"/>
    <w:rsid w:val="009131B0"/>
    <w:rsid w:val="00913E12"/>
    <w:rsid w:val="00914199"/>
    <w:rsid w:val="00914F04"/>
    <w:rsid w:val="009155C4"/>
    <w:rsid w:val="00915C58"/>
    <w:rsid w:val="00916262"/>
    <w:rsid w:val="00916B20"/>
    <w:rsid w:val="0091758D"/>
    <w:rsid w:val="00917FE9"/>
    <w:rsid w:val="009209B3"/>
    <w:rsid w:val="00921572"/>
    <w:rsid w:val="00921793"/>
    <w:rsid w:val="00921979"/>
    <w:rsid w:val="00922928"/>
    <w:rsid w:val="00923846"/>
    <w:rsid w:val="00923A83"/>
    <w:rsid w:val="00924565"/>
    <w:rsid w:val="00924766"/>
    <w:rsid w:val="00925E50"/>
    <w:rsid w:val="00925F51"/>
    <w:rsid w:val="00927CF8"/>
    <w:rsid w:val="00930938"/>
    <w:rsid w:val="00931169"/>
    <w:rsid w:val="009314C8"/>
    <w:rsid w:val="00933389"/>
    <w:rsid w:val="009339A0"/>
    <w:rsid w:val="00933AA2"/>
    <w:rsid w:val="0093407E"/>
    <w:rsid w:val="009342C7"/>
    <w:rsid w:val="00935463"/>
    <w:rsid w:val="0093547B"/>
    <w:rsid w:val="00935B22"/>
    <w:rsid w:val="00935D55"/>
    <w:rsid w:val="00936F1C"/>
    <w:rsid w:val="00937326"/>
    <w:rsid w:val="00937676"/>
    <w:rsid w:val="009378A9"/>
    <w:rsid w:val="00937B65"/>
    <w:rsid w:val="00937C24"/>
    <w:rsid w:val="009404B7"/>
    <w:rsid w:val="00940A7D"/>
    <w:rsid w:val="00940BE6"/>
    <w:rsid w:val="00941028"/>
    <w:rsid w:val="00941088"/>
    <w:rsid w:val="00941997"/>
    <w:rsid w:val="00941D86"/>
    <w:rsid w:val="009425EB"/>
    <w:rsid w:val="009429EA"/>
    <w:rsid w:val="00942DB7"/>
    <w:rsid w:val="009444FB"/>
    <w:rsid w:val="00944666"/>
    <w:rsid w:val="00944BCA"/>
    <w:rsid w:val="00945070"/>
    <w:rsid w:val="00945B31"/>
    <w:rsid w:val="00945CCB"/>
    <w:rsid w:val="009460C6"/>
    <w:rsid w:val="00946AD2"/>
    <w:rsid w:val="00946B5F"/>
    <w:rsid w:val="00947052"/>
    <w:rsid w:val="0094715F"/>
    <w:rsid w:val="0094743B"/>
    <w:rsid w:val="0094749B"/>
    <w:rsid w:val="00947530"/>
    <w:rsid w:val="00952688"/>
    <w:rsid w:val="00952735"/>
    <w:rsid w:val="009553A5"/>
    <w:rsid w:val="009559AC"/>
    <w:rsid w:val="00955D54"/>
    <w:rsid w:val="00955EB5"/>
    <w:rsid w:val="00955EE8"/>
    <w:rsid w:val="009564F0"/>
    <w:rsid w:val="00956B83"/>
    <w:rsid w:val="00956C62"/>
    <w:rsid w:val="009571F6"/>
    <w:rsid w:val="00957625"/>
    <w:rsid w:val="00960126"/>
    <w:rsid w:val="00960885"/>
    <w:rsid w:val="0096094D"/>
    <w:rsid w:val="00960C2D"/>
    <w:rsid w:val="00961030"/>
    <w:rsid w:val="009611BE"/>
    <w:rsid w:val="0096249A"/>
    <w:rsid w:val="00962F9D"/>
    <w:rsid w:val="00963BBE"/>
    <w:rsid w:val="0096423D"/>
    <w:rsid w:val="00964333"/>
    <w:rsid w:val="00964C49"/>
    <w:rsid w:val="009650E1"/>
    <w:rsid w:val="0096523C"/>
    <w:rsid w:val="00965D70"/>
    <w:rsid w:val="009660F0"/>
    <w:rsid w:val="0096630F"/>
    <w:rsid w:val="00966963"/>
    <w:rsid w:val="009669D5"/>
    <w:rsid w:val="00966CB1"/>
    <w:rsid w:val="009708FD"/>
    <w:rsid w:val="009710F9"/>
    <w:rsid w:val="00973239"/>
    <w:rsid w:val="0097392F"/>
    <w:rsid w:val="00974E14"/>
    <w:rsid w:val="00975987"/>
    <w:rsid w:val="009759C1"/>
    <w:rsid w:val="00975B6D"/>
    <w:rsid w:val="00975D9B"/>
    <w:rsid w:val="00976BB4"/>
    <w:rsid w:val="00977043"/>
    <w:rsid w:val="00977446"/>
    <w:rsid w:val="00977495"/>
    <w:rsid w:val="00977AA6"/>
    <w:rsid w:val="00980481"/>
    <w:rsid w:val="00980D67"/>
    <w:rsid w:val="009813D2"/>
    <w:rsid w:val="009824A5"/>
    <w:rsid w:val="009831DC"/>
    <w:rsid w:val="0098329E"/>
    <w:rsid w:val="0098355A"/>
    <w:rsid w:val="009835E5"/>
    <w:rsid w:val="00983EB3"/>
    <w:rsid w:val="00984359"/>
    <w:rsid w:val="0098595B"/>
    <w:rsid w:val="00985D15"/>
    <w:rsid w:val="00985E83"/>
    <w:rsid w:val="00986439"/>
    <w:rsid w:val="00986D6A"/>
    <w:rsid w:val="00990E39"/>
    <w:rsid w:val="00991136"/>
    <w:rsid w:val="0099138A"/>
    <w:rsid w:val="0099169D"/>
    <w:rsid w:val="00991A22"/>
    <w:rsid w:val="00991B0B"/>
    <w:rsid w:val="0099234B"/>
    <w:rsid w:val="009926F4"/>
    <w:rsid w:val="00992739"/>
    <w:rsid w:val="009927FC"/>
    <w:rsid w:val="0099313B"/>
    <w:rsid w:val="00993672"/>
    <w:rsid w:val="009942D2"/>
    <w:rsid w:val="00994DEF"/>
    <w:rsid w:val="009950E5"/>
    <w:rsid w:val="0099545A"/>
    <w:rsid w:val="00995EFE"/>
    <w:rsid w:val="00996ADE"/>
    <w:rsid w:val="00997470"/>
    <w:rsid w:val="00997604"/>
    <w:rsid w:val="00997ADD"/>
    <w:rsid w:val="00997AF7"/>
    <w:rsid w:val="00997EB7"/>
    <w:rsid w:val="009A0FFB"/>
    <w:rsid w:val="009A139A"/>
    <w:rsid w:val="009A1B62"/>
    <w:rsid w:val="009A20DD"/>
    <w:rsid w:val="009A29B4"/>
    <w:rsid w:val="009A3D68"/>
    <w:rsid w:val="009A4C41"/>
    <w:rsid w:val="009A4E1F"/>
    <w:rsid w:val="009A68DE"/>
    <w:rsid w:val="009A6F65"/>
    <w:rsid w:val="009A76EE"/>
    <w:rsid w:val="009B04A1"/>
    <w:rsid w:val="009B14C0"/>
    <w:rsid w:val="009B2022"/>
    <w:rsid w:val="009B2791"/>
    <w:rsid w:val="009B3A33"/>
    <w:rsid w:val="009B45B0"/>
    <w:rsid w:val="009B5287"/>
    <w:rsid w:val="009B592B"/>
    <w:rsid w:val="009B59C5"/>
    <w:rsid w:val="009B5E66"/>
    <w:rsid w:val="009B6343"/>
    <w:rsid w:val="009B6CF0"/>
    <w:rsid w:val="009B701E"/>
    <w:rsid w:val="009B7622"/>
    <w:rsid w:val="009B7D99"/>
    <w:rsid w:val="009C0ADC"/>
    <w:rsid w:val="009C0D8B"/>
    <w:rsid w:val="009C0F41"/>
    <w:rsid w:val="009C1047"/>
    <w:rsid w:val="009C12E5"/>
    <w:rsid w:val="009C173C"/>
    <w:rsid w:val="009C2309"/>
    <w:rsid w:val="009C2848"/>
    <w:rsid w:val="009C2E25"/>
    <w:rsid w:val="009C3031"/>
    <w:rsid w:val="009C304F"/>
    <w:rsid w:val="009C388E"/>
    <w:rsid w:val="009C3C33"/>
    <w:rsid w:val="009C3CCE"/>
    <w:rsid w:val="009C4548"/>
    <w:rsid w:val="009C4E56"/>
    <w:rsid w:val="009C51F8"/>
    <w:rsid w:val="009C54CD"/>
    <w:rsid w:val="009C5579"/>
    <w:rsid w:val="009C57EE"/>
    <w:rsid w:val="009C588C"/>
    <w:rsid w:val="009C5F03"/>
    <w:rsid w:val="009C62C9"/>
    <w:rsid w:val="009C6423"/>
    <w:rsid w:val="009C6D42"/>
    <w:rsid w:val="009C70B7"/>
    <w:rsid w:val="009C7A0D"/>
    <w:rsid w:val="009C7AB8"/>
    <w:rsid w:val="009C7EC8"/>
    <w:rsid w:val="009C7F55"/>
    <w:rsid w:val="009D03D2"/>
    <w:rsid w:val="009D1272"/>
    <w:rsid w:val="009D16DC"/>
    <w:rsid w:val="009D1986"/>
    <w:rsid w:val="009D2533"/>
    <w:rsid w:val="009D2B82"/>
    <w:rsid w:val="009D32A8"/>
    <w:rsid w:val="009D33FC"/>
    <w:rsid w:val="009D3585"/>
    <w:rsid w:val="009D50F2"/>
    <w:rsid w:val="009D56CC"/>
    <w:rsid w:val="009D60B5"/>
    <w:rsid w:val="009D6AEC"/>
    <w:rsid w:val="009E04CA"/>
    <w:rsid w:val="009E07AD"/>
    <w:rsid w:val="009E0919"/>
    <w:rsid w:val="009E0E14"/>
    <w:rsid w:val="009E0FB0"/>
    <w:rsid w:val="009E0FDE"/>
    <w:rsid w:val="009E13A2"/>
    <w:rsid w:val="009E1BF4"/>
    <w:rsid w:val="009E334B"/>
    <w:rsid w:val="009E36BE"/>
    <w:rsid w:val="009E3CF1"/>
    <w:rsid w:val="009E3EB3"/>
    <w:rsid w:val="009E4296"/>
    <w:rsid w:val="009E4365"/>
    <w:rsid w:val="009E515E"/>
    <w:rsid w:val="009E55A6"/>
    <w:rsid w:val="009E595F"/>
    <w:rsid w:val="009E5AA4"/>
    <w:rsid w:val="009E5B6A"/>
    <w:rsid w:val="009E60A7"/>
    <w:rsid w:val="009E645A"/>
    <w:rsid w:val="009E6AE5"/>
    <w:rsid w:val="009F1F4A"/>
    <w:rsid w:val="009F2279"/>
    <w:rsid w:val="009F2502"/>
    <w:rsid w:val="009F2A50"/>
    <w:rsid w:val="009F3089"/>
    <w:rsid w:val="009F36B3"/>
    <w:rsid w:val="009F4115"/>
    <w:rsid w:val="009F442E"/>
    <w:rsid w:val="009F4D4D"/>
    <w:rsid w:val="009F55E4"/>
    <w:rsid w:val="009F5D67"/>
    <w:rsid w:val="009F5FD5"/>
    <w:rsid w:val="009F62CF"/>
    <w:rsid w:val="009F66F1"/>
    <w:rsid w:val="009F6893"/>
    <w:rsid w:val="009F6F3F"/>
    <w:rsid w:val="00A00876"/>
    <w:rsid w:val="00A01157"/>
    <w:rsid w:val="00A01470"/>
    <w:rsid w:val="00A01727"/>
    <w:rsid w:val="00A01798"/>
    <w:rsid w:val="00A01980"/>
    <w:rsid w:val="00A01DCE"/>
    <w:rsid w:val="00A0224E"/>
    <w:rsid w:val="00A02717"/>
    <w:rsid w:val="00A02B56"/>
    <w:rsid w:val="00A039DC"/>
    <w:rsid w:val="00A03F62"/>
    <w:rsid w:val="00A047C2"/>
    <w:rsid w:val="00A047F9"/>
    <w:rsid w:val="00A048D5"/>
    <w:rsid w:val="00A04F74"/>
    <w:rsid w:val="00A05DDE"/>
    <w:rsid w:val="00A066FB"/>
    <w:rsid w:val="00A06E36"/>
    <w:rsid w:val="00A07B0B"/>
    <w:rsid w:val="00A07E2D"/>
    <w:rsid w:val="00A07FD2"/>
    <w:rsid w:val="00A10563"/>
    <w:rsid w:val="00A10912"/>
    <w:rsid w:val="00A120AF"/>
    <w:rsid w:val="00A1279B"/>
    <w:rsid w:val="00A130CE"/>
    <w:rsid w:val="00A13448"/>
    <w:rsid w:val="00A1365A"/>
    <w:rsid w:val="00A13686"/>
    <w:rsid w:val="00A149F4"/>
    <w:rsid w:val="00A14BBA"/>
    <w:rsid w:val="00A152CE"/>
    <w:rsid w:val="00A1530E"/>
    <w:rsid w:val="00A15FA6"/>
    <w:rsid w:val="00A163A3"/>
    <w:rsid w:val="00A16F8A"/>
    <w:rsid w:val="00A20190"/>
    <w:rsid w:val="00A201DD"/>
    <w:rsid w:val="00A21179"/>
    <w:rsid w:val="00A211D2"/>
    <w:rsid w:val="00A2419D"/>
    <w:rsid w:val="00A24443"/>
    <w:rsid w:val="00A2497E"/>
    <w:rsid w:val="00A25A64"/>
    <w:rsid w:val="00A25AFF"/>
    <w:rsid w:val="00A25C95"/>
    <w:rsid w:val="00A2613E"/>
    <w:rsid w:val="00A26232"/>
    <w:rsid w:val="00A2660A"/>
    <w:rsid w:val="00A2670E"/>
    <w:rsid w:val="00A26A7F"/>
    <w:rsid w:val="00A27381"/>
    <w:rsid w:val="00A27661"/>
    <w:rsid w:val="00A27A07"/>
    <w:rsid w:val="00A27F1A"/>
    <w:rsid w:val="00A3008D"/>
    <w:rsid w:val="00A307F7"/>
    <w:rsid w:val="00A30B06"/>
    <w:rsid w:val="00A31113"/>
    <w:rsid w:val="00A31866"/>
    <w:rsid w:val="00A3202F"/>
    <w:rsid w:val="00A325EE"/>
    <w:rsid w:val="00A32AF0"/>
    <w:rsid w:val="00A32CCF"/>
    <w:rsid w:val="00A332BB"/>
    <w:rsid w:val="00A33823"/>
    <w:rsid w:val="00A33B29"/>
    <w:rsid w:val="00A33D2F"/>
    <w:rsid w:val="00A34485"/>
    <w:rsid w:val="00A349A0"/>
    <w:rsid w:val="00A34EE0"/>
    <w:rsid w:val="00A35895"/>
    <w:rsid w:val="00A35CE3"/>
    <w:rsid w:val="00A35DEF"/>
    <w:rsid w:val="00A36DFE"/>
    <w:rsid w:val="00A4056E"/>
    <w:rsid w:val="00A405B4"/>
    <w:rsid w:val="00A40901"/>
    <w:rsid w:val="00A40C36"/>
    <w:rsid w:val="00A41036"/>
    <w:rsid w:val="00A410DD"/>
    <w:rsid w:val="00A41932"/>
    <w:rsid w:val="00A4290B"/>
    <w:rsid w:val="00A42BEB"/>
    <w:rsid w:val="00A42BF8"/>
    <w:rsid w:val="00A438D0"/>
    <w:rsid w:val="00A44DE6"/>
    <w:rsid w:val="00A46033"/>
    <w:rsid w:val="00A4615A"/>
    <w:rsid w:val="00A4677B"/>
    <w:rsid w:val="00A477B6"/>
    <w:rsid w:val="00A47C52"/>
    <w:rsid w:val="00A50216"/>
    <w:rsid w:val="00A509BB"/>
    <w:rsid w:val="00A50BBB"/>
    <w:rsid w:val="00A50DC6"/>
    <w:rsid w:val="00A50F32"/>
    <w:rsid w:val="00A5177C"/>
    <w:rsid w:val="00A51C1E"/>
    <w:rsid w:val="00A523FA"/>
    <w:rsid w:val="00A5279E"/>
    <w:rsid w:val="00A5408A"/>
    <w:rsid w:val="00A547BF"/>
    <w:rsid w:val="00A55998"/>
    <w:rsid w:val="00A55A18"/>
    <w:rsid w:val="00A55B31"/>
    <w:rsid w:val="00A55CB0"/>
    <w:rsid w:val="00A5646B"/>
    <w:rsid w:val="00A5650A"/>
    <w:rsid w:val="00A56549"/>
    <w:rsid w:val="00A571A6"/>
    <w:rsid w:val="00A60119"/>
    <w:rsid w:val="00A601EA"/>
    <w:rsid w:val="00A60657"/>
    <w:rsid w:val="00A60A62"/>
    <w:rsid w:val="00A60DAB"/>
    <w:rsid w:val="00A6164B"/>
    <w:rsid w:val="00A62590"/>
    <w:rsid w:val="00A62C5A"/>
    <w:rsid w:val="00A63546"/>
    <w:rsid w:val="00A63C5C"/>
    <w:rsid w:val="00A64B26"/>
    <w:rsid w:val="00A64E19"/>
    <w:rsid w:val="00A64EA7"/>
    <w:rsid w:val="00A656D4"/>
    <w:rsid w:val="00A65956"/>
    <w:rsid w:val="00A65A00"/>
    <w:rsid w:val="00A65D1A"/>
    <w:rsid w:val="00A65D4C"/>
    <w:rsid w:val="00A66F3B"/>
    <w:rsid w:val="00A67376"/>
    <w:rsid w:val="00A67B6C"/>
    <w:rsid w:val="00A70B0B"/>
    <w:rsid w:val="00A71545"/>
    <w:rsid w:val="00A71960"/>
    <w:rsid w:val="00A72497"/>
    <w:rsid w:val="00A7269D"/>
    <w:rsid w:val="00A7277F"/>
    <w:rsid w:val="00A72D72"/>
    <w:rsid w:val="00A735FF"/>
    <w:rsid w:val="00A73864"/>
    <w:rsid w:val="00A738C8"/>
    <w:rsid w:val="00A73A9E"/>
    <w:rsid w:val="00A73FA9"/>
    <w:rsid w:val="00A745EB"/>
    <w:rsid w:val="00A7465D"/>
    <w:rsid w:val="00A757F8"/>
    <w:rsid w:val="00A760A1"/>
    <w:rsid w:val="00A7691B"/>
    <w:rsid w:val="00A774E1"/>
    <w:rsid w:val="00A801EF"/>
    <w:rsid w:val="00A8109A"/>
    <w:rsid w:val="00A81B48"/>
    <w:rsid w:val="00A8227C"/>
    <w:rsid w:val="00A828F3"/>
    <w:rsid w:val="00A82A78"/>
    <w:rsid w:val="00A82CED"/>
    <w:rsid w:val="00A82E6E"/>
    <w:rsid w:val="00A83619"/>
    <w:rsid w:val="00A838F6"/>
    <w:rsid w:val="00A84915"/>
    <w:rsid w:val="00A84FC7"/>
    <w:rsid w:val="00A855F6"/>
    <w:rsid w:val="00A86CC6"/>
    <w:rsid w:val="00A87551"/>
    <w:rsid w:val="00A90655"/>
    <w:rsid w:val="00A90F3E"/>
    <w:rsid w:val="00A91356"/>
    <w:rsid w:val="00A915AD"/>
    <w:rsid w:val="00A91E4F"/>
    <w:rsid w:val="00A92906"/>
    <w:rsid w:val="00A92ACF"/>
    <w:rsid w:val="00A92B88"/>
    <w:rsid w:val="00A92B8F"/>
    <w:rsid w:val="00A932C1"/>
    <w:rsid w:val="00A9351C"/>
    <w:rsid w:val="00A9401E"/>
    <w:rsid w:val="00A944D5"/>
    <w:rsid w:val="00A959D1"/>
    <w:rsid w:val="00A95D3D"/>
    <w:rsid w:val="00A9771E"/>
    <w:rsid w:val="00A97763"/>
    <w:rsid w:val="00A97984"/>
    <w:rsid w:val="00A97E01"/>
    <w:rsid w:val="00A97F68"/>
    <w:rsid w:val="00AA0221"/>
    <w:rsid w:val="00AA08B8"/>
    <w:rsid w:val="00AA14DE"/>
    <w:rsid w:val="00AA18F7"/>
    <w:rsid w:val="00AA1AB8"/>
    <w:rsid w:val="00AA1CC1"/>
    <w:rsid w:val="00AA2423"/>
    <w:rsid w:val="00AA35CD"/>
    <w:rsid w:val="00AA3914"/>
    <w:rsid w:val="00AA3973"/>
    <w:rsid w:val="00AA44C5"/>
    <w:rsid w:val="00AA5CF3"/>
    <w:rsid w:val="00AA5D1B"/>
    <w:rsid w:val="00AA6499"/>
    <w:rsid w:val="00AA6735"/>
    <w:rsid w:val="00AA7404"/>
    <w:rsid w:val="00AA764A"/>
    <w:rsid w:val="00AA7F3C"/>
    <w:rsid w:val="00AB000A"/>
    <w:rsid w:val="00AB06E2"/>
    <w:rsid w:val="00AB0920"/>
    <w:rsid w:val="00AB095C"/>
    <w:rsid w:val="00AB15D9"/>
    <w:rsid w:val="00AB22AE"/>
    <w:rsid w:val="00AB25D2"/>
    <w:rsid w:val="00AB2F7F"/>
    <w:rsid w:val="00AB306D"/>
    <w:rsid w:val="00AB3727"/>
    <w:rsid w:val="00AB3E64"/>
    <w:rsid w:val="00AB3EAC"/>
    <w:rsid w:val="00AB3F3D"/>
    <w:rsid w:val="00AB4DF7"/>
    <w:rsid w:val="00AB53EF"/>
    <w:rsid w:val="00AB5895"/>
    <w:rsid w:val="00AB599E"/>
    <w:rsid w:val="00AB600A"/>
    <w:rsid w:val="00AB757D"/>
    <w:rsid w:val="00AB7DD8"/>
    <w:rsid w:val="00AC049E"/>
    <w:rsid w:val="00AC0C55"/>
    <w:rsid w:val="00AC1029"/>
    <w:rsid w:val="00AC12A5"/>
    <w:rsid w:val="00AC15AE"/>
    <w:rsid w:val="00AC178B"/>
    <w:rsid w:val="00AC1C6F"/>
    <w:rsid w:val="00AC2A75"/>
    <w:rsid w:val="00AC2ECA"/>
    <w:rsid w:val="00AC3115"/>
    <w:rsid w:val="00AC40B8"/>
    <w:rsid w:val="00AC48DC"/>
    <w:rsid w:val="00AC4B68"/>
    <w:rsid w:val="00AC5107"/>
    <w:rsid w:val="00AC55BD"/>
    <w:rsid w:val="00AC59CC"/>
    <w:rsid w:val="00AC5BCB"/>
    <w:rsid w:val="00AC6874"/>
    <w:rsid w:val="00AC6EFE"/>
    <w:rsid w:val="00AC732F"/>
    <w:rsid w:val="00AD16C0"/>
    <w:rsid w:val="00AD18C3"/>
    <w:rsid w:val="00AD20F7"/>
    <w:rsid w:val="00AD2195"/>
    <w:rsid w:val="00AD225E"/>
    <w:rsid w:val="00AD3BB0"/>
    <w:rsid w:val="00AD3CD5"/>
    <w:rsid w:val="00AD3CFD"/>
    <w:rsid w:val="00AD3DAA"/>
    <w:rsid w:val="00AD49E1"/>
    <w:rsid w:val="00AD4F2C"/>
    <w:rsid w:val="00AD5E3D"/>
    <w:rsid w:val="00AD61F2"/>
    <w:rsid w:val="00AD6A1C"/>
    <w:rsid w:val="00AD721E"/>
    <w:rsid w:val="00AD7426"/>
    <w:rsid w:val="00AE1418"/>
    <w:rsid w:val="00AE1661"/>
    <w:rsid w:val="00AE1B36"/>
    <w:rsid w:val="00AE1D8C"/>
    <w:rsid w:val="00AE2FC0"/>
    <w:rsid w:val="00AE5050"/>
    <w:rsid w:val="00AE56F8"/>
    <w:rsid w:val="00AE5DFD"/>
    <w:rsid w:val="00AE7086"/>
    <w:rsid w:val="00AE741D"/>
    <w:rsid w:val="00AF02F2"/>
    <w:rsid w:val="00AF03F5"/>
    <w:rsid w:val="00AF0655"/>
    <w:rsid w:val="00AF0ACE"/>
    <w:rsid w:val="00AF192F"/>
    <w:rsid w:val="00AF21B8"/>
    <w:rsid w:val="00AF237A"/>
    <w:rsid w:val="00AF2B67"/>
    <w:rsid w:val="00AF2BDC"/>
    <w:rsid w:val="00AF41FD"/>
    <w:rsid w:val="00AF47B9"/>
    <w:rsid w:val="00AF5349"/>
    <w:rsid w:val="00AF54F4"/>
    <w:rsid w:val="00AF5E0B"/>
    <w:rsid w:val="00AF5F11"/>
    <w:rsid w:val="00AF5F84"/>
    <w:rsid w:val="00AF5FAB"/>
    <w:rsid w:val="00AF625A"/>
    <w:rsid w:val="00B00689"/>
    <w:rsid w:val="00B006E3"/>
    <w:rsid w:val="00B00844"/>
    <w:rsid w:val="00B009A7"/>
    <w:rsid w:val="00B01318"/>
    <w:rsid w:val="00B01423"/>
    <w:rsid w:val="00B036D2"/>
    <w:rsid w:val="00B03F54"/>
    <w:rsid w:val="00B04E53"/>
    <w:rsid w:val="00B05216"/>
    <w:rsid w:val="00B05B5D"/>
    <w:rsid w:val="00B05DDE"/>
    <w:rsid w:val="00B05E2A"/>
    <w:rsid w:val="00B06470"/>
    <w:rsid w:val="00B06B62"/>
    <w:rsid w:val="00B0720A"/>
    <w:rsid w:val="00B0737F"/>
    <w:rsid w:val="00B0780D"/>
    <w:rsid w:val="00B07EFE"/>
    <w:rsid w:val="00B106D1"/>
    <w:rsid w:val="00B11187"/>
    <w:rsid w:val="00B113B1"/>
    <w:rsid w:val="00B12412"/>
    <w:rsid w:val="00B13FC5"/>
    <w:rsid w:val="00B140A6"/>
    <w:rsid w:val="00B14388"/>
    <w:rsid w:val="00B1464B"/>
    <w:rsid w:val="00B14C3A"/>
    <w:rsid w:val="00B155A6"/>
    <w:rsid w:val="00B1599D"/>
    <w:rsid w:val="00B15D37"/>
    <w:rsid w:val="00B15D68"/>
    <w:rsid w:val="00B163A7"/>
    <w:rsid w:val="00B1660D"/>
    <w:rsid w:val="00B168AF"/>
    <w:rsid w:val="00B202F2"/>
    <w:rsid w:val="00B20F4B"/>
    <w:rsid w:val="00B21062"/>
    <w:rsid w:val="00B210CB"/>
    <w:rsid w:val="00B21161"/>
    <w:rsid w:val="00B2131E"/>
    <w:rsid w:val="00B21B98"/>
    <w:rsid w:val="00B21C21"/>
    <w:rsid w:val="00B21E41"/>
    <w:rsid w:val="00B21EB1"/>
    <w:rsid w:val="00B21FAA"/>
    <w:rsid w:val="00B220B8"/>
    <w:rsid w:val="00B22E27"/>
    <w:rsid w:val="00B232A7"/>
    <w:rsid w:val="00B23CAB"/>
    <w:rsid w:val="00B2404E"/>
    <w:rsid w:val="00B24BC9"/>
    <w:rsid w:val="00B24FB9"/>
    <w:rsid w:val="00B25033"/>
    <w:rsid w:val="00B25E15"/>
    <w:rsid w:val="00B25FB2"/>
    <w:rsid w:val="00B2611A"/>
    <w:rsid w:val="00B2635F"/>
    <w:rsid w:val="00B267F1"/>
    <w:rsid w:val="00B27407"/>
    <w:rsid w:val="00B27C39"/>
    <w:rsid w:val="00B27D69"/>
    <w:rsid w:val="00B3127A"/>
    <w:rsid w:val="00B31A4A"/>
    <w:rsid w:val="00B32808"/>
    <w:rsid w:val="00B32919"/>
    <w:rsid w:val="00B33966"/>
    <w:rsid w:val="00B33D66"/>
    <w:rsid w:val="00B34CF6"/>
    <w:rsid w:val="00B34D1C"/>
    <w:rsid w:val="00B3566E"/>
    <w:rsid w:val="00B35B6E"/>
    <w:rsid w:val="00B36A88"/>
    <w:rsid w:val="00B36D9D"/>
    <w:rsid w:val="00B37061"/>
    <w:rsid w:val="00B371C9"/>
    <w:rsid w:val="00B3728A"/>
    <w:rsid w:val="00B373CA"/>
    <w:rsid w:val="00B4014F"/>
    <w:rsid w:val="00B40A07"/>
    <w:rsid w:val="00B41242"/>
    <w:rsid w:val="00B42380"/>
    <w:rsid w:val="00B4303E"/>
    <w:rsid w:val="00B43516"/>
    <w:rsid w:val="00B43D2C"/>
    <w:rsid w:val="00B43FA6"/>
    <w:rsid w:val="00B45289"/>
    <w:rsid w:val="00B454E1"/>
    <w:rsid w:val="00B45960"/>
    <w:rsid w:val="00B45EC0"/>
    <w:rsid w:val="00B47707"/>
    <w:rsid w:val="00B47BDB"/>
    <w:rsid w:val="00B47C36"/>
    <w:rsid w:val="00B47C98"/>
    <w:rsid w:val="00B50355"/>
    <w:rsid w:val="00B50396"/>
    <w:rsid w:val="00B50771"/>
    <w:rsid w:val="00B514ED"/>
    <w:rsid w:val="00B51519"/>
    <w:rsid w:val="00B51EF9"/>
    <w:rsid w:val="00B529C1"/>
    <w:rsid w:val="00B5374C"/>
    <w:rsid w:val="00B53828"/>
    <w:rsid w:val="00B53916"/>
    <w:rsid w:val="00B53948"/>
    <w:rsid w:val="00B54B35"/>
    <w:rsid w:val="00B551FF"/>
    <w:rsid w:val="00B55239"/>
    <w:rsid w:val="00B55440"/>
    <w:rsid w:val="00B55E28"/>
    <w:rsid w:val="00B5697E"/>
    <w:rsid w:val="00B56988"/>
    <w:rsid w:val="00B57BCD"/>
    <w:rsid w:val="00B57E9A"/>
    <w:rsid w:val="00B60027"/>
    <w:rsid w:val="00B60056"/>
    <w:rsid w:val="00B60AF7"/>
    <w:rsid w:val="00B60C96"/>
    <w:rsid w:val="00B610FC"/>
    <w:rsid w:val="00B6140E"/>
    <w:rsid w:val="00B61637"/>
    <w:rsid w:val="00B61814"/>
    <w:rsid w:val="00B619B9"/>
    <w:rsid w:val="00B61AEA"/>
    <w:rsid w:val="00B62409"/>
    <w:rsid w:val="00B62B00"/>
    <w:rsid w:val="00B62BE5"/>
    <w:rsid w:val="00B636EE"/>
    <w:rsid w:val="00B63DFA"/>
    <w:rsid w:val="00B643D9"/>
    <w:rsid w:val="00B64E9A"/>
    <w:rsid w:val="00B65277"/>
    <w:rsid w:val="00B65BB4"/>
    <w:rsid w:val="00B6738E"/>
    <w:rsid w:val="00B675FA"/>
    <w:rsid w:val="00B67A70"/>
    <w:rsid w:val="00B67AD8"/>
    <w:rsid w:val="00B67DB6"/>
    <w:rsid w:val="00B71731"/>
    <w:rsid w:val="00B7187D"/>
    <w:rsid w:val="00B71AA3"/>
    <w:rsid w:val="00B71ED7"/>
    <w:rsid w:val="00B7240E"/>
    <w:rsid w:val="00B72B21"/>
    <w:rsid w:val="00B72D93"/>
    <w:rsid w:val="00B734FA"/>
    <w:rsid w:val="00B737C2"/>
    <w:rsid w:val="00B7407F"/>
    <w:rsid w:val="00B74186"/>
    <w:rsid w:val="00B748D5"/>
    <w:rsid w:val="00B75D19"/>
    <w:rsid w:val="00B771B9"/>
    <w:rsid w:val="00B7792F"/>
    <w:rsid w:val="00B77B1F"/>
    <w:rsid w:val="00B80060"/>
    <w:rsid w:val="00B8103C"/>
    <w:rsid w:val="00B8110E"/>
    <w:rsid w:val="00B81184"/>
    <w:rsid w:val="00B81AFE"/>
    <w:rsid w:val="00B82657"/>
    <w:rsid w:val="00B82C2D"/>
    <w:rsid w:val="00B833A1"/>
    <w:rsid w:val="00B837E8"/>
    <w:rsid w:val="00B83AF2"/>
    <w:rsid w:val="00B85134"/>
    <w:rsid w:val="00B860FF"/>
    <w:rsid w:val="00B87398"/>
    <w:rsid w:val="00B90245"/>
    <w:rsid w:val="00B90DEB"/>
    <w:rsid w:val="00B90E9F"/>
    <w:rsid w:val="00B913DD"/>
    <w:rsid w:val="00B9185D"/>
    <w:rsid w:val="00B91A64"/>
    <w:rsid w:val="00B92763"/>
    <w:rsid w:val="00B927CA"/>
    <w:rsid w:val="00B92C67"/>
    <w:rsid w:val="00B943CF"/>
    <w:rsid w:val="00B94885"/>
    <w:rsid w:val="00B94F3B"/>
    <w:rsid w:val="00B95CC1"/>
    <w:rsid w:val="00B95DB3"/>
    <w:rsid w:val="00B96888"/>
    <w:rsid w:val="00B96E31"/>
    <w:rsid w:val="00B971A2"/>
    <w:rsid w:val="00BA0437"/>
    <w:rsid w:val="00BA091D"/>
    <w:rsid w:val="00BA0EBC"/>
    <w:rsid w:val="00BA157F"/>
    <w:rsid w:val="00BA1A21"/>
    <w:rsid w:val="00BA1E4D"/>
    <w:rsid w:val="00BA203C"/>
    <w:rsid w:val="00BA5475"/>
    <w:rsid w:val="00BA5840"/>
    <w:rsid w:val="00BA75A3"/>
    <w:rsid w:val="00BA7D51"/>
    <w:rsid w:val="00BB013C"/>
    <w:rsid w:val="00BB0B32"/>
    <w:rsid w:val="00BB0BCB"/>
    <w:rsid w:val="00BB1303"/>
    <w:rsid w:val="00BB1459"/>
    <w:rsid w:val="00BB1514"/>
    <w:rsid w:val="00BB2A9E"/>
    <w:rsid w:val="00BB2FEE"/>
    <w:rsid w:val="00BB360C"/>
    <w:rsid w:val="00BB3964"/>
    <w:rsid w:val="00BB3BBF"/>
    <w:rsid w:val="00BB41A8"/>
    <w:rsid w:val="00BB45DD"/>
    <w:rsid w:val="00BB4BF7"/>
    <w:rsid w:val="00BB4EDF"/>
    <w:rsid w:val="00BB509C"/>
    <w:rsid w:val="00BB5353"/>
    <w:rsid w:val="00BB62F4"/>
    <w:rsid w:val="00BB6EA5"/>
    <w:rsid w:val="00BB6FB5"/>
    <w:rsid w:val="00BB7745"/>
    <w:rsid w:val="00BC0272"/>
    <w:rsid w:val="00BC05AD"/>
    <w:rsid w:val="00BC05E2"/>
    <w:rsid w:val="00BC063A"/>
    <w:rsid w:val="00BC0805"/>
    <w:rsid w:val="00BC17FA"/>
    <w:rsid w:val="00BC33F3"/>
    <w:rsid w:val="00BC3DEE"/>
    <w:rsid w:val="00BC3F03"/>
    <w:rsid w:val="00BC42F2"/>
    <w:rsid w:val="00BC47E7"/>
    <w:rsid w:val="00BC484B"/>
    <w:rsid w:val="00BC5256"/>
    <w:rsid w:val="00BC5E6C"/>
    <w:rsid w:val="00BC718E"/>
    <w:rsid w:val="00BC733D"/>
    <w:rsid w:val="00BC7370"/>
    <w:rsid w:val="00BC79EF"/>
    <w:rsid w:val="00BD0200"/>
    <w:rsid w:val="00BD021D"/>
    <w:rsid w:val="00BD0639"/>
    <w:rsid w:val="00BD1779"/>
    <w:rsid w:val="00BD231E"/>
    <w:rsid w:val="00BD2452"/>
    <w:rsid w:val="00BD2648"/>
    <w:rsid w:val="00BD2986"/>
    <w:rsid w:val="00BD45EF"/>
    <w:rsid w:val="00BD49EA"/>
    <w:rsid w:val="00BD5161"/>
    <w:rsid w:val="00BD6185"/>
    <w:rsid w:val="00BD620D"/>
    <w:rsid w:val="00BD6345"/>
    <w:rsid w:val="00BD69A1"/>
    <w:rsid w:val="00BD73C8"/>
    <w:rsid w:val="00BE01BE"/>
    <w:rsid w:val="00BE1406"/>
    <w:rsid w:val="00BE1496"/>
    <w:rsid w:val="00BE1F86"/>
    <w:rsid w:val="00BE3936"/>
    <w:rsid w:val="00BE407E"/>
    <w:rsid w:val="00BE42AB"/>
    <w:rsid w:val="00BE46D0"/>
    <w:rsid w:val="00BE4B77"/>
    <w:rsid w:val="00BE5F74"/>
    <w:rsid w:val="00BE6407"/>
    <w:rsid w:val="00BE66F1"/>
    <w:rsid w:val="00BE68A7"/>
    <w:rsid w:val="00BE777E"/>
    <w:rsid w:val="00BF04A1"/>
    <w:rsid w:val="00BF088F"/>
    <w:rsid w:val="00BF1C15"/>
    <w:rsid w:val="00BF1D92"/>
    <w:rsid w:val="00BF1EFF"/>
    <w:rsid w:val="00BF1F35"/>
    <w:rsid w:val="00BF3327"/>
    <w:rsid w:val="00BF3658"/>
    <w:rsid w:val="00BF3724"/>
    <w:rsid w:val="00BF3ADE"/>
    <w:rsid w:val="00BF417C"/>
    <w:rsid w:val="00BF4569"/>
    <w:rsid w:val="00BF497C"/>
    <w:rsid w:val="00BF4EDE"/>
    <w:rsid w:val="00BF4FC0"/>
    <w:rsid w:val="00BF5274"/>
    <w:rsid w:val="00BF527E"/>
    <w:rsid w:val="00BF536D"/>
    <w:rsid w:val="00BF56CD"/>
    <w:rsid w:val="00BF59EA"/>
    <w:rsid w:val="00BF5DAE"/>
    <w:rsid w:val="00BF61D2"/>
    <w:rsid w:val="00BF6373"/>
    <w:rsid w:val="00BF67DE"/>
    <w:rsid w:val="00BF75C4"/>
    <w:rsid w:val="00BF7699"/>
    <w:rsid w:val="00C00483"/>
    <w:rsid w:val="00C0337A"/>
    <w:rsid w:val="00C0359C"/>
    <w:rsid w:val="00C037D9"/>
    <w:rsid w:val="00C03CE5"/>
    <w:rsid w:val="00C03EE8"/>
    <w:rsid w:val="00C0407C"/>
    <w:rsid w:val="00C04247"/>
    <w:rsid w:val="00C0534F"/>
    <w:rsid w:val="00C0616C"/>
    <w:rsid w:val="00C066EB"/>
    <w:rsid w:val="00C0759A"/>
    <w:rsid w:val="00C07765"/>
    <w:rsid w:val="00C07DC8"/>
    <w:rsid w:val="00C07E18"/>
    <w:rsid w:val="00C1104F"/>
    <w:rsid w:val="00C111EC"/>
    <w:rsid w:val="00C11DF0"/>
    <w:rsid w:val="00C12C23"/>
    <w:rsid w:val="00C13302"/>
    <w:rsid w:val="00C134AD"/>
    <w:rsid w:val="00C13DB3"/>
    <w:rsid w:val="00C13F3F"/>
    <w:rsid w:val="00C147A8"/>
    <w:rsid w:val="00C155B9"/>
    <w:rsid w:val="00C15DEA"/>
    <w:rsid w:val="00C15F53"/>
    <w:rsid w:val="00C163B7"/>
    <w:rsid w:val="00C1674F"/>
    <w:rsid w:val="00C16BD6"/>
    <w:rsid w:val="00C173AC"/>
    <w:rsid w:val="00C1789F"/>
    <w:rsid w:val="00C2069F"/>
    <w:rsid w:val="00C21001"/>
    <w:rsid w:val="00C21460"/>
    <w:rsid w:val="00C2159F"/>
    <w:rsid w:val="00C222A5"/>
    <w:rsid w:val="00C22471"/>
    <w:rsid w:val="00C22BD3"/>
    <w:rsid w:val="00C22FB7"/>
    <w:rsid w:val="00C2344B"/>
    <w:rsid w:val="00C241FC"/>
    <w:rsid w:val="00C266AA"/>
    <w:rsid w:val="00C26B64"/>
    <w:rsid w:val="00C26C0A"/>
    <w:rsid w:val="00C27057"/>
    <w:rsid w:val="00C27441"/>
    <w:rsid w:val="00C27FE9"/>
    <w:rsid w:val="00C30D6E"/>
    <w:rsid w:val="00C30FFA"/>
    <w:rsid w:val="00C31ADF"/>
    <w:rsid w:val="00C31B59"/>
    <w:rsid w:val="00C31CAB"/>
    <w:rsid w:val="00C3251B"/>
    <w:rsid w:val="00C3373E"/>
    <w:rsid w:val="00C33772"/>
    <w:rsid w:val="00C33841"/>
    <w:rsid w:val="00C33941"/>
    <w:rsid w:val="00C3451F"/>
    <w:rsid w:val="00C35711"/>
    <w:rsid w:val="00C35CF5"/>
    <w:rsid w:val="00C36B5C"/>
    <w:rsid w:val="00C37AD7"/>
    <w:rsid w:val="00C37F93"/>
    <w:rsid w:val="00C4034F"/>
    <w:rsid w:val="00C40A82"/>
    <w:rsid w:val="00C4139E"/>
    <w:rsid w:val="00C413E9"/>
    <w:rsid w:val="00C415B3"/>
    <w:rsid w:val="00C41937"/>
    <w:rsid w:val="00C41F28"/>
    <w:rsid w:val="00C43303"/>
    <w:rsid w:val="00C433BE"/>
    <w:rsid w:val="00C4597A"/>
    <w:rsid w:val="00C46346"/>
    <w:rsid w:val="00C46482"/>
    <w:rsid w:val="00C471BA"/>
    <w:rsid w:val="00C476FF"/>
    <w:rsid w:val="00C47F0D"/>
    <w:rsid w:val="00C5046D"/>
    <w:rsid w:val="00C50C1F"/>
    <w:rsid w:val="00C50F67"/>
    <w:rsid w:val="00C51079"/>
    <w:rsid w:val="00C51467"/>
    <w:rsid w:val="00C5178A"/>
    <w:rsid w:val="00C52A03"/>
    <w:rsid w:val="00C53A60"/>
    <w:rsid w:val="00C543FF"/>
    <w:rsid w:val="00C5452C"/>
    <w:rsid w:val="00C547FD"/>
    <w:rsid w:val="00C5535F"/>
    <w:rsid w:val="00C55421"/>
    <w:rsid w:val="00C56121"/>
    <w:rsid w:val="00C56DA1"/>
    <w:rsid w:val="00C573B3"/>
    <w:rsid w:val="00C57462"/>
    <w:rsid w:val="00C57953"/>
    <w:rsid w:val="00C60542"/>
    <w:rsid w:val="00C61294"/>
    <w:rsid w:val="00C6132C"/>
    <w:rsid w:val="00C61A73"/>
    <w:rsid w:val="00C61F9B"/>
    <w:rsid w:val="00C63AF5"/>
    <w:rsid w:val="00C63BE7"/>
    <w:rsid w:val="00C63C47"/>
    <w:rsid w:val="00C644B4"/>
    <w:rsid w:val="00C65C12"/>
    <w:rsid w:val="00C664E1"/>
    <w:rsid w:val="00C67459"/>
    <w:rsid w:val="00C67E6D"/>
    <w:rsid w:val="00C70673"/>
    <w:rsid w:val="00C70A59"/>
    <w:rsid w:val="00C70D21"/>
    <w:rsid w:val="00C7113C"/>
    <w:rsid w:val="00C711D3"/>
    <w:rsid w:val="00C71514"/>
    <w:rsid w:val="00C717A1"/>
    <w:rsid w:val="00C719DB"/>
    <w:rsid w:val="00C7226E"/>
    <w:rsid w:val="00C723CF"/>
    <w:rsid w:val="00C724DE"/>
    <w:rsid w:val="00C72AE5"/>
    <w:rsid w:val="00C73576"/>
    <w:rsid w:val="00C741F3"/>
    <w:rsid w:val="00C747A6"/>
    <w:rsid w:val="00C77141"/>
    <w:rsid w:val="00C77515"/>
    <w:rsid w:val="00C7799B"/>
    <w:rsid w:val="00C807EE"/>
    <w:rsid w:val="00C80BD9"/>
    <w:rsid w:val="00C8125C"/>
    <w:rsid w:val="00C81FDD"/>
    <w:rsid w:val="00C8225E"/>
    <w:rsid w:val="00C82D72"/>
    <w:rsid w:val="00C8361B"/>
    <w:rsid w:val="00C83917"/>
    <w:rsid w:val="00C83E08"/>
    <w:rsid w:val="00C8464F"/>
    <w:rsid w:val="00C85B52"/>
    <w:rsid w:val="00C8672F"/>
    <w:rsid w:val="00C86989"/>
    <w:rsid w:val="00C86D21"/>
    <w:rsid w:val="00C8740B"/>
    <w:rsid w:val="00C87A79"/>
    <w:rsid w:val="00C90A6C"/>
    <w:rsid w:val="00C91273"/>
    <w:rsid w:val="00C912B6"/>
    <w:rsid w:val="00C915CC"/>
    <w:rsid w:val="00C91E4E"/>
    <w:rsid w:val="00C9324E"/>
    <w:rsid w:val="00C94333"/>
    <w:rsid w:val="00C945C7"/>
    <w:rsid w:val="00C946A9"/>
    <w:rsid w:val="00C94E65"/>
    <w:rsid w:val="00C94FD6"/>
    <w:rsid w:val="00C94FF5"/>
    <w:rsid w:val="00C95716"/>
    <w:rsid w:val="00C9601F"/>
    <w:rsid w:val="00C96B98"/>
    <w:rsid w:val="00C97214"/>
    <w:rsid w:val="00C97852"/>
    <w:rsid w:val="00C97B50"/>
    <w:rsid w:val="00C97BB1"/>
    <w:rsid w:val="00CA0220"/>
    <w:rsid w:val="00CA024E"/>
    <w:rsid w:val="00CA04AF"/>
    <w:rsid w:val="00CA05E8"/>
    <w:rsid w:val="00CA072F"/>
    <w:rsid w:val="00CA07D1"/>
    <w:rsid w:val="00CA07F8"/>
    <w:rsid w:val="00CA0881"/>
    <w:rsid w:val="00CA096E"/>
    <w:rsid w:val="00CA1981"/>
    <w:rsid w:val="00CA1B71"/>
    <w:rsid w:val="00CA249E"/>
    <w:rsid w:val="00CA2814"/>
    <w:rsid w:val="00CA2A38"/>
    <w:rsid w:val="00CA2BC8"/>
    <w:rsid w:val="00CA3969"/>
    <w:rsid w:val="00CA3D66"/>
    <w:rsid w:val="00CA5B7E"/>
    <w:rsid w:val="00CA5FEF"/>
    <w:rsid w:val="00CA618B"/>
    <w:rsid w:val="00CA6211"/>
    <w:rsid w:val="00CA64A4"/>
    <w:rsid w:val="00CA67C7"/>
    <w:rsid w:val="00CA6C15"/>
    <w:rsid w:val="00CA7798"/>
    <w:rsid w:val="00CA7B7F"/>
    <w:rsid w:val="00CA7BE0"/>
    <w:rsid w:val="00CB0AF7"/>
    <w:rsid w:val="00CB222D"/>
    <w:rsid w:val="00CB28D4"/>
    <w:rsid w:val="00CB2E41"/>
    <w:rsid w:val="00CB3988"/>
    <w:rsid w:val="00CB3BDD"/>
    <w:rsid w:val="00CB4158"/>
    <w:rsid w:val="00CB420D"/>
    <w:rsid w:val="00CB4243"/>
    <w:rsid w:val="00CB4675"/>
    <w:rsid w:val="00CB47AF"/>
    <w:rsid w:val="00CB4AD3"/>
    <w:rsid w:val="00CB5E58"/>
    <w:rsid w:val="00CB5E74"/>
    <w:rsid w:val="00CB671A"/>
    <w:rsid w:val="00CB696B"/>
    <w:rsid w:val="00CB6A98"/>
    <w:rsid w:val="00CB71B9"/>
    <w:rsid w:val="00CB746C"/>
    <w:rsid w:val="00CB7ED4"/>
    <w:rsid w:val="00CC0A13"/>
    <w:rsid w:val="00CC1CAB"/>
    <w:rsid w:val="00CC1F82"/>
    <w:rsid w:val="00CC22E3"/>
    <w:rsid w:val="00CC2733"/>
    <w:rsid w:val="00CC2792"/>
    <w:rsid w:val="00CC3255"/>
    <w:rsid w:val="00CC3B2A"/>
    <w:rsid w:val="00CC426A"/>
    <w:rsid w:val="00CC4304"/>
    <w:rsid w:val="00CC4FB2"/>
    <w:rsid w:val="00CC50D9"/>
    <w:rsid w:val="00CC5423"/>
    <w:rsid w:val="00CC56A7"/>
    <w:rsid w:val="00CC6061"/>
    <w:rsid w:val="00CC7119"/>
    <w:rsid w:val="00CC72BB"/>
    <w:rsid w:val="00CC7577"/>
    <w:rsid w:val="00CC762A"/>
    <w:rsid w:val="00CC7714"/>
    <w:rsid w:val="00CC7A5B"/>
    <w:rsid w:val="00CC7B0E"/>
    <w:rsid w:val="00CC7D91"/>
    <w:rsid w:val="00CC7ED6"/>
    <w:rsid w:val="00CD0600"/>
    <w:rsid w:val="00CD0A30"/>
    <w:rsid w:val="00CD0A35"/>
    <w:rsid w:val="00CD0CF8"/>
    <w:rsid w:val="00CD105A"/>
    <w:rsid w:val="00CD115D"/>
    <w:rsid w:val="00CD2104"/>
    <w:rsid w:val="00CD221C"/>
    <w:rsid w:val="00CD25AF"/>
    <w:rsid w:val="00CD2A23"/>
    <w:rsid w:val="00CD32B9"/>
    <w:rsid w:val="00CD3BB7"/>
    <w:rsid w:val="00CD43F1"/>
    <w:rsid w:val="00CD509B"/>
    <w:rsid w:val="00CD562C"/>
    <w:rsid w:val="00CD62E4"/>
    <w:rsid w:val="00CD7013"/>
    <w:rsid w:val="00CD7245"/>
    <w:rsid w:val="00CE0065"/>
    <w:rsid w:val="00CE00A5"/>
    <w:rsid w:val="00CE1183"/>
    <w:rsid w:val="00CE1603"/>
    <w:rsid w:val="00CE16F4"/>
    <w:rsid w:val="00CE203C"/>
    <w:rsid w:val="00CE24B3"/>
    <w:rsid w:val="00CE2C4A"/>
    <w:rsid w:val="00CE2ED5"/>
    <w:rsid w:val="00CE4D4B"/>
    <w:rsid w:val="00CE5506"/>
    <w:rsid w:val="00CE55A1"/>
    <w:rsid w:val="00CE5970"/>
    <w:rsid w:val="00CE5CDA"/>
    <w:rsid w:val="00CE6413"/>
    <w:rsid w:val="00CE744D"/>
    <w:rsid w:val="00CE7845"/>
    <w:rsid w:val="00CF0E17"/>
    <w:rsid w:val="00CF1250"/>
    <w:rsid w:val="00CF12F8"/>
    <w:rsid w:val="00CF15A7"/>
    <w:rsid w:val="00CF2B85"/>
    <w:rsid w:val="00CF3030"/>
    <w:rsid w:val="00CF3107"/>
    <w:rsid w:val="00CF3B76"/>
    <w:rsid w:val="00CF4B4C"/>
    <w:rsid w:val="00CF4DA3"/>
    <w:rsid w:val="00CF507E"/>
    <w:rsid w:val="00CF5115"/>
    <w:rsid w:val="00CF671D"/>
    <w:rsid w:val="00CF6BD0"/>
    <w:rsid w:val="00CF6CB4"/>
    <w:rsid w:val="00CF79DF"/>
    <w:rsid w:val="00D0063E"/>
    <w:rsid w:val="00D00770"/>
    <w:rsid w:val="00D012A2"/>
    <w:rsid w:val="00D01363"/>
    <w:rsid w:val="00D01B48"/>
    <w:rsid w:val="00D0362F"/>
    <w:rsid w:val="00D03F32"/>
    <w:rsid w:val="00D0416D"/>
    <w:rsid w:val="00D04407"/>
    <w:rsid w:val="00D046CB"/>
    <w:rsid w:val="00D05787"/>
    <w:rsid w:val="00D05D4E"/>
    <w:rsid w:val="00D05DB2"/>
    <w:rsid w:val="00D0601B"/>
    <w:rsid w:val="00D066CC"/>
    <w:rsid w:val="00D06EFB"/>
    <w:rsid w:val="00D06FFE"/>
    <w:rsid w:val="00D073E8"/>
    <w:rsid w:val="00D07AEB"/>
    <w:rsid w:val="00D07F4B"/>
    <w:rsid w:val="00D10B8C"/>
    <w:rsid w:val="00D11301"/>
    <w:rsid w:val="00D11409"/>
    <w:rsid w:val="00D11BB5"/>
    <w:rsid w:val="00D127CC"/>
    <w:rsid w:val="00D12C31"/>
    <w:rsid w:val="00D1315E"/>
    <w:rsid w:val="00D1345E"/>
    <w:rsid w:val="00D13FF0"/>
    <w:rsid w:val="00D15B0D"/>
    <w:rsid w:val="00D15E25"/>
    <w:rsid w:val="00D201E3"/>
    <w:rsid w:val="00D209EF"/>
    <w:rsid w:val="00D21B35"/>
    <w:rsid w:val="00D21FA4"/>
    <w:rsid w:val="00D221A3"/>
    <w:rsid w:val="00D221F7"/>
    <w:rsid w:val="00D2230E"/>
    <w:rsid w:val="00D22914"/>
    <w:rsid w:val="00D24424"/>
    <w:rsid w:val="00D25537"/>
    <w:rsid w:val="00D25A98"/>
    <w:rsid w:val="00D271DA"/>
    <w:rsid w:val="00D27274"/>
    <w:rsid w:val="00D27660"/>
    <w:rsid w:val="00D27BBE"/>
    <w:rsid w:val="00D312B0"/>
    <w:rsid w:val="00D32407"/>
    <w:rsid w:val="00D32BFA"/>
    <w:rsid w:val="00D33248"/>
    <w:rsid w:val="00D3351C"/>
    <w:rsid w:val="00D34264"/>
    <w:rsid w:val="00D346B9"/>
    <w:rsid w:val="00D34B42"/>
    <w:rsid w:val="00D3569C"/>
    <w:rsid w:val="00D3589E"/>
    <w:rsid w:val="00D370AA"/>
    <w:rsid w:val="00D4014A"/>
    <w:rsid w:val="00D407AE"/>
    <w:rsid w:val="00D40EA8"/>
    <w:rsid w:val="00D41103"/>
    <w:rsid w:val="00D41153"/>
    <w:rsid w:val="00D41709"/>
    <w:rsid w:val="00D42046"/>
    <w:rsid w:val="00D429A2"/>
    <w:rsid w:val="00D43216"/>
    <w:rsid w:val="00D440F8"/>
    <w:rsid w:val="00D44468"/>
    <w:rsid w:val="00D452EC"/>
    <w:rsid w:val="00D454A1"/>
    <w:rsid w:val="00D456D3"/>
    <w:rsid w:val="00D4583C"/>
    <w:rsid w:val="00D45D68"/>
    <w:rsid w:val="00D46417"/>
    <w:rsid w:val="00D47382"/>
    <w:rsid w:val="00D47963"/>
    <w:rsid w:val="00D47FBE"/>
    <w:rsid w:val="00D5032E"/>
    <w:rsid w:val="00D51341"/>
    <w:rsid w:val="00D51D1A"/>
    <w:rsid w:val="00D52933"/>
    <w:rsid w:val="00D53421"/>
    <w:rsid w:val="00D53472"/>
    <w:rsid w:val="00D53C03"/>
    <w:rsid w:val="00D53E47"/>
    <w:rsid w:val="00D54867"/>
    <w:rsid w:val="00D549C2"/>
    <w:rsid w:val="00D5500C"/>
    <w:rsid w:val="00D550B0"/>
    <w:rsid w:val="00D557E9"/>
    <w:rsid w:val="00D55B80"/>
    <w:rsid w:val="00D56202"/>
    <w:rsid w:val="00D5645D"/>
    <w:rsid w:val="00D56F1C"/>
    <w:rsid w:val="00D570A8"/>
    <w:rsid w:val="00D57DB5"/>
    <w:rsid w:val="00D57FC2"/>
    <w:rsid w:val="00D60C94"/>
    <w:rsid w:val="00D61429"/>
    <w:rsid w:val="00D61555"/>
    <w:rsid w:val="00D61628"/>
    <w:rsid w:val="00D61A31"/>
    <w:rsid w:val="00D62254"/>
    <w:rsid w:val="00D6233F"/>
    <w:rsid w:val="00D6256B"/>
    <w:rsid w:val="00D62A5A"/>
    <w:rsid w:val="00D62F9A"/>
    <w:rsid w:val="00D6315A"/>
    <w:rsid w:val="00D631DD"/>
    <w:rsid w:val="00D6350B"/>
    <w:rsid w:val="00D64270"/>
    <w:rsid w:val="00D64B93"/>
    <w:rsid w:val="00D652B1"/>
    <w:rsid w:val="00D65635"/>
    <w:rsid w:val="00D65729"/>
    <w:rsid w:val="00D65CAD"/>
    <w:rsid w:val="00D660F8"/>
    <w:rsid w:val="00D66369"/>
    <w:rsid w:val="00D6712C"/>
    <w:rsid w:val="00D67516"/>
    <w:rsid w:val="00D67748"/>
    <w:rsid w:val="00D6795E"/>
    <w:rsid w:val="00D67D4A"/>
    <w:rsid w:val="00D67F7D"/>
    <w:rsid w:val="00D700B7"/>
    <w:rsid w:val="00D70438"/>
    <w:rsid w:val="00D71193"/>
    <w:rsid w:val="00D717C5"/>
    <w:rsid w:val="00D71808"/>
    <w:rsid w:val="00D71CE0"/>
    <w:rsid w:val="00D727BA"/>
    <w:rsid w:val="00D72F57"/>
    <w:rsid w:val="00D7305B"/>
    <w:rsid w:val="00D7312E"/>
    <w:rsid w:val="00D7385A"/>
    <w:rsid w:val="00D73DA7"/>
    <w:rsid w:val="00D742A8"/>
    <w:rsid w:val="00D76739"/>
    <w:rsid w:val="00D768BD"/>
    <w:rsid w:val="00D76D7E"/>
    <w:rsid w:val="00D802C4"/>
    <w:rsid w:val="00D803CE"/>
    <w:rsid w:val="00D817F4"/>
    <w:rsid w:val="00D81B42"/>
    <w:rsid w:val="00D81CB2"/>
    <w:rsid w:val="00D82231"/>
    <w:rsid w:val="00D82A4C"/>
    <w:rsid w:val="00D83642"/>
    <w:rsid w:val="00D836F3"/>
    <w:rsid w:val="00D83AA1"/>
    <w:rsid w:val="00D84697"/>
    <w:rsid w:val="00D846F3"/>
    <w:rsid w:val="00D84991"/>
    <w:rsid w:val="00D85134"/>
    <w:rsid w:val="00D85936"/>
    <w:rsid w:val="00D85A6A"/>
    <w:rsid w:val="00D85AE4"/>
    <w:rsid w:val="00D86808"/>
    <w:rsid w:val="00D86A08"/>
    <w:rsid w:val="00D8780E"/>
    <w:rsid w:val="00D87AF2"/>
    <w:rsid w:val="00D906A2"/>
    <w:rsid w:val="00D90C75"/>
    <w:rsid w:val="00D9106D"/>
    <w:rsid w:val="00D914CF"/>
    <w:rsid w:val="00D91558"/>
    <w:rsid w:val="00D92340"/>
    <w:rsid w:val="00D927E9"/>
    <w:rsid w:val="00D928BB"/>
    <w:rsid w:val="00D92A43"/>
    <w:rsid w:val="00D936EC"/>
    <w:rsid w:val="00D94FD7"/>
    <w:rsid w:val="00D94FF2"/>
    <w:rsid w:val="00D9536A"/>
    <w:rsid w:val="00D95A31"/>
    <w:rsid w:val="00D96692"/>
    <w:rsid w:val="00D96B35"/>
    <w:rsid w:val="00D96E84"/>
    <w:rsid w:val="00DA056B"/>
    <w:rsid w:val="00DA0F27"/>
    <w:rsid w:val="00DA20A9"/>
    <w:rsid w:val="00DA2358"/>
    <w:rsid w:val="00DA2BDB"/>
    <w:rsid w:val="00DA2C38"/>
    <w:rsid w:val="00DA3A60"/>
    <w:rsid w:val="00DA3B32"/>
    <w:rsid w:val="00DA4508"/>
    <w:rsid w:val="00DA502D"/>
    <w:rsid w:val="00DA5323"/>
    <w:rsid w:val="00DA7051"/>
    <w:rsid w:val="00DB0802"/>
    <w:rsid w:val="00DB0D5B"/>
    <w:rsid w:val="00DB0F9E"/>
    <w:rsid w:val="00DB14C7"/>
    <w:rsid w:val="00DB14E1"/>
    <w:rsid w:val="00DB155B"/>
    <w:rsid w:val="00DB17AD"/>
    <w:rsid w:val="00DB1BF6"/>
    <w:rsid w:val="00DB1F86"/>
    <w:rsid w:val="00DB20E4"/>
    <w:rsid w:val="00DB2932"/>
    <w:rsid w:val="00DB29B1"/>
    <w:rsid w:val="00DB2F19"/>
    <w:rsid w:val="00DB340B"/>
    <w:rsid w:val="00DB3FB0"/>
    <w:rsid w:val="00DB4261"/>
    <w:rsid w:val="00DB46E7"/>
    <w:rsid w:val="00DB5489"/>
    <w:rsid w:val="00DB6681"/>
    <w:rsid w:val="00DB7D96"/>
    <w:rsid w:val="00DC018F"/>
    <w:rsid w:val="00DC0CEF"/>
    <w:rsid w:val="00DC10D2"/>
    <w:rsid w:val="00DC14B4"/>
    <w:rsid w:val="00DC299F"/>
    <w:rsid w:val="00DC49A0"/>
    <w:rsid w:val="00DC4C88"/>
    <w:rsid w:val="00DC4FAA"/>
    <w:rsid w:val="00DC52E8"/>
    <w:rsid w:val="00DC53F4"/>
    <w:rsid w:val="00DC5A84"/>
    <w:rsid w:val="00DC60DC"/>
    <w:rsid w:val="00DC649C"/>
    <w:rsid w:val="00DC6B74"/>
    <w:rsid w:val="00DC6E3D"/>
    <w:rsid w:val="00DC71EB"/>
    <w:rsid w:val="00DC71ED"/>
    <w:rsid w:val="00DC7BCE"/>
    <w:rsid w:val="00DC7D5E"/>
    <w:rsid w:val="00DC7E95"/>
    <w:rsid w:val="00DD0444"/>
    <w:rsid w:val="00DD0CB3"/>
    <w:rsid w:val="00DD0EC1"/>
    <w:rsid w:val="00DD185C"/>
    <w:rsid w:val="00DD1B58"/>
    <w:rsid w:val="00DD1F63"/>
    <w:rsid w:val="00DD29A7"/>
    <w:rsid w:val="00DD2CE8"/>
    <w:rsid w:val="00DD375F"/>
    <w:rsid w:val="00DD387A"/>
    <w:rsid w:val="00DD397A"/>
    <w:rsid w:val="00DD3A4B"/>
    <w:rsid w:val="00DD45C8"/>
    <w:rsid w:val="00DD46A0"/>
    <w:rsid w:val="00DD4839"/>
    <w:rsid w:val="00DD4B2C"/>
    <w:rsid w:val="00DD4FA8"/>
    <w:rsid w:val="00DD62F0"/>
    <w:rsid w:val="00DD6936"/>
    <w:rsid w:val="00DD7708"/>
    <w:rsid w:val="00DD785D"/>
    <w:rsid w:val="00DE0934"/>
    <w:rsid w:val="00DE16AC"/>
    <w:rsid w:val="00DE1912"/>
    <w:rsid w:val="00DE19B0"/>
    <w:rsid w:val="00DE1E8E"/>
    <w:rsid w:val="00DE22F7"/>
    <w:rsid w:val="00DE24CF"/>
    <w:rsid w:val="00DE252D"/>
    <w:rsid w:val="00DE2E19"/>
    <w:rsid w:val="00DE3478"/>
    <w:rsid w:val="00DE36CD"/>
    <w:rsid w:val="00DE378A"/>
    <w:rsid w:val="00DE381F"/>
    <w:rsid w:val="00DE5B7D"/>
    <w:rsid w:val="00DE64BE"/>
    <w:rsid w:val="00DE6B48"/>
    <w:rsid w:val="00DE74AC"/>
    <w:rsid w:val="00DF083B"/>
    <w:rsid w:val="00DF0A85"/>
    <w:rsid w:val="00DF2339"/>
    <w:rsid w:val="00DF2E20"/>
    <w:rsid w:val="00DF3162"/>
    <w:rsid w:val="00DF326C"/>
    <w:rsid w:val="00DF3A27"/>
    <w:rsid w:val="00DF4B94"/>
    <w:rsid w:val="00DF4E87"/>
    <w:rsid w:val="00DF5EC5"/>
    <w:rsid w:val="00DF5F7A"/>
    <w:rsid w:val="00DF6038"/>
    <w:rsid w:val="00DF6427"/>
    <w:rsid w:val="00DF6621"/>
    <w:rsid w:val="00DF6947"/>
    <w:rsid w:val="00DF6A10"/>
    <w:rsid w:val="00DF6A61"/>
    <w:rsid w:val="00DF6C5B"/>
    <w:rsid w:val="00DF7E28"/>
    <w:rsid w:val="00E011D2"/>
    <w:rsid w:val="00E021A0"/>
    <w:rsid w:val="00E02327"/>
    <w:rsid w:val="00E02D0A"/>
    <w:rsid w:val="00E03292"/>
    <w:rsid w:val="00E04411"/>
    <w:rsid w:val="00E0467C"/>
    <w:rsid w:val="00E046F4"/>
    <w:rsid w:val="00E04A2D"/>
    <w:rsid w:val="00E054AD"/>
    <w:rsid w:val="00E0612F"/>
    <w:rsid w:val="00E0719B"/>
    <w:rsid w:val="00E1011D"/>
    <w:rsid w:val="00E1076C"/>
    <w:rsid w:val="00E10F54"/>
    <w:rsid w:val="00E11326"/>
    <w:rsid w:val="00E1138F"/>
    <w:rsid w:val="00E11A83"/>
    <w:rsid w:val="00E11D2F"/>
    <w:rsid w:val="00E12BAE"/>
    <w:rsid w:val="00E12E5F"/>
    <w:rsid w:val="00E12F14"/>
    <w:rsid w:val="00E141A0"/>
    <w:rsid w:val="00E14E40"/>
    <w:rsid w:val="00E158C3"/>
    <w:rsid w:val="00E15B57"/>
    <w:rsid w:val="00E15D8E"/>
    <w:rsid w:val="00E16313"/>
    <w:rsid w:val="00E16388"/>
    <w:rsid w:val="00E16AED"/>
    <w:rsid w:val="00E16B95"/>
    <w:rsid w:val="00E16CBD"/>
    <w:rsid w:val="00E20F83"/>
    <w:rsid w:val="00E21C2D"/>
    <w:rsid w:val="00E22112"/>
    <w:rsid w:val="00E227AE"/>
    <w:rsid w:val="00E227CC"/>
    <w:rsid w:val="00E22EC3"/>
    <w:rsid w:val="00E2313E"/>
    <w:rsid w:val="00E23217"/>
    <w:rsid w:val="00E2338D"/>
    <w:rsid w:val="00E23633"/>
    <w:rsid w:val="00E2377A"/>
    <w:rsid w:val="00E2528D"/>
    <w:rsid w:val="00E25764"/>
    <w:rsid w:val="00E25E69"/>
    <w:rsid w:val="00E26514"/>
    <w:rsid w:val="00E2678E"/>
    <w:rsid w:val="00E26C70"/>
    <w:rsid w:val="00E27480"/>
    <w:rsid w:val="00E2764B"/>
    <w:rsid w:val="00E2767C"/>
    <w:rsid w:val="00E30ED2"/>
    <w:rsid w:val="00E31098"/>
    <w:rsid w:val="00E329C2"/>
    <w:rsid w:val="00E32F1D"/>
    <w:rsid w:val="00E33535"/>
    <w:rsid w:val="00E33786"/>
    <w:rsid w:val="00E338A6"/>
    <w:rsid w:val="00E33A9D"/>
    <w:rsid w:val="00E34B26"/>
    <w:rsid w:val="00E3522E"/>
    <w:rsid w:val="00E3583B"/>
    <w:rsid w:val="00E35E41"/>
    <w:rsid w:val="00E36497"/>
    <w:rsid w:val="00E37242"/>
    <w:rsid w:val="00E408C4"/>
    <w:rsid w:val="00E40991"/>
    <w:rsid w:val="00E409F6"/>
    <w:rsid w:val="00E412F9"/>
    <w:rsid w:val="00E41556"/>
    <w:rsid w:val="00E424BD"/>
    <w:rsid w:val="00E42975"/>
    <w:rsid w:val="00E42CC2"/>
    <w:rsid w:val="00E435DE"/>
    <w:rsid w:val="00E43733"/>
    <w:rsid w:val="00E43831"/>
    <w:rsid w:val="00E438D4"/>
    <w:rsid w:val="00E439B4"/>
    <w:rsid w:val="00E44460"/>
    <w:rsid w:val="00E4497D"/>
    <w:rsid w:val="00E44AB7"/>
    <w:rsid w:val="00E45067"/>
    <w:rsid w:val="00E451AB"/>
    <w:rsid w:val="00E455CF"/>
    <w:rsid w:val="00E456C6"/>
    <w:rsid w:val="00E470D0"/>
    <w:rsid w:val="00E4784E"/>
    <w:rsid w:val="00E47A91"/>
    <w:rsid w:val="00E50059"/>
    <w:rsid w:val="00E50200"/>
    <w:rsid w:val="00E506A8"/>
    <w:rsid w:val="00E507F1"/>
    <w:rsid w:val="00E50B7C"/>
    <w:rsid w:val="00E50C11"/>
    <w:rsid w:val="00E5114F"/>
    <w:rsid w:val="00E513DA"/>
    <w:rsid w:val="00E53CF3"/>
    <w:rsid w:val="00E53DAF"/>
    <w:rsid w:val="00E54322"/>
    <w:rsid w:val="00E546F4"/>
    <w:rsid w:val="00E54B47"/>
    <w:rsid w:val="00E55440"/>
    <w:rsid w:val="00E55A77"/>
    <w:rsid w:val="00E563FD"/>
    <w:rsid w:val="00E56408"/>
    <w:rsid w:val="00E572BA"/>
    <w:rsid w:val="00E57316"/>
    <w:rsid w:val="00E574F4"/>
    <w:rsid w:val="00E57862"/>
    <w:rsid w:val="00E57E86"/>
    <w:rsid w:val="00E6055E"/>
    <w:rsid w:val="00E60761"/>
    <w:rsid w:val="00E609CE"/>
    <w:rsid w:val="00E60A28"/>
    <w:rsid w:val="00E61131"/>
    <w:rsid w:val="00E61AEF"/>
    <w:rsid w:val="00E61C23"/>
    <w:rsid w:val="00E62CCB"/>
    <w:rsid w:val="00E63022"/>
    <w:rsid w:val="00E6387C"/>
    <w:rsid w:val="00E63B68"/>
    <w:rsid w:val="00E63C7A"/>
    <w:rsid w:val="00E63F1E"/>
    <w:rsid w:val="00E6529B"/>
    <w:rsid w:val="00E659B3"/>
    <w:rsid w:val="00E663F3"/>
    <w:rsid w:val="00E67160"/>
    <w:rsid w:val="00E67DD8"/>
    <w:rsid w:val="00E704FD"/>
    <w:rsid w:val="00E7054F"/>
    <w:rsid w:val="00E713A6"/>
    <w:rsid w:val="00E726DB"/>
    <w:rsid w:val="00E727A8"/>
    <w:rsid w:val="00E72C38"/>
    <w:rsid w:val="00E72EB7"/>
    <w:rsid w:val="00E73452"/>
    <w:rsid w:val="00E73549"/>
    <w:rsid w:val="00E7362B"/>
    <w:rsid w:val="00E73D1C"/>
    <w:rsid w:val="00E745E0"/>
    <w:rsid w:val="00E748F3"/>
    <w:rsid w:val="00E74F04"/>
    <w:rsid w:val="00E770EF"/>
    <w:rsid w:val="00E771ED"/>
    <w:rsid w:val="00E7746D"/>
    <w:rsid w:val="00E774C8"/>
    <w:rsid w:val="00E777DD"/>
    <w:rsid w:val="00E8039D"/>
    <w:rsid w:val="00E81086"/>
    <w:rsid w:val="00E81269"/>
    <w:rsid w:val="00E8191A"/>
    <w:rsid w:val="00E8197B"/>
    <w:rsid w:val="00E81D13"/>
    <w:rsid w:val="00E8224B"/>
    <w:rsid w:val="00E82323"/>
    <w:rsid w:val="00E82BF5"/>
    <w:rsid w:val="00E82C7B"/>
    <w:rsid w:val="00E83311"/>
    <w:rsid w:val="00E836FF"/>
    <w:rsid w:val="00E83727"/>
    <w:rsid w:val="00E83F5C"/>
    <w:rsid w:val="00E851E5"/>
    <w:rsid w:val="00E85D58"/>
    <w:rsid w:val="00E8619F"/>
    <w:rsid w:val="00E8684C"/>
    <w:rsid w:val="00E86B7A"/>
    <w:rsid w:val="00E86CC8"/>
    <w:rsid w:val="00E905FF"/>
    <w:rsid w:val="00E90855"/>
    <w:rsid w:val="00E910AF"/>
    <w:rsid w:val="00E91185"/>
    <w:rsid w:val="00E9139D"/>
    <w:rsid w:val="00E91794"/>
    <w:rsid w:val="00E91F2E"/>
    <w:rsid w:val="00E9231A"/>
    <w:rsid w:val="00E93200"/>
    <w:rsid w:val="00E93A60"/>
    <w:rsid w:val="00E93DA3"/>
    <w:rsid w:val="00E93E25"/>
    <w:rsid w:val="00E9424C"/>
    <w:rsid w:val="00E95545"/>
    <w:rsid w:val="00E9736D"/>
    <w:rsid w:val="00E979DB"/>
    <w:rsid w:val="00EA015C"/>
    <w:rsid w:val="00EA07BE"/>
    <w:rsid w:val="00EA0F9E"/>
    <w:rsid w:val="00EA185B"/>
    <w:rsid w:val="00EA1F15"/>
    <w:rsid w:val="00EA243F"/>
    <w:rsid w:val="00EA2849"/>
    <w:rsid w:val="00EA315B"/>
    <w:rsid w:val="00EA34B0"/>
    <w:rsid w:val="00EA3BB8"/>
    <w:rsid w:val="00EA3BCD"/>
    <w:rsid w:val="00EA439B"/>
    <w:rsid w:val="00EA4C57"/>
    <w:rsid w:val="00EA4F16"/>
    <w:rsid w:val="00EA529C"/>
    <w:rsid w:val="00EA6C09"/>
    <w:rsid w:val="00EA6F34"/>
    <w:rsid w:val="00EA773D"/>
    <w:rsid w:val="00EA7F4B"/>
    <w:rsid w:val="00EB0332"/>
    <w:rsid w:val="00EB0401"/>
    <w:rsid w:val="00EB08C3"/>
    <w:rsid w:val="00EB11B8"/>
    <w:rsid w:val="00EB1905"/>
    <w:rsid w:val="00EB1C3D"/>
    <w:rsid w:val="00EB20A1"/>
    <w:rsid w:val="00EB224D"/>
    <w:rsid w:val="00EB27F7"/>
    <w:rsid w:val="00EB33F6"/>
    <w:rsid w:val="00EB39C7"/>
    <w:rsid w:val="00EB4780"/>
    <w:rsid w:val="00EB4E45"/>
    <w:rsid w:val="00EB563E"/>
    <w:rsid w:val="00EB56C3"/>
    <w:rsid w:val="00EB5D30"/>
    <w:rsid w:val="00EB653C"/>
    <w:rsid w:val="00EB70F9"/>
    <w:rsid w:val="00EB740C"/>
    <w:rsid w:val="00EC2AC1"/>
    <w:rsid w:val="00EC31E2"/>
    <w:rsid w:val="00EC345F"/>
    <w:rsid w:val="00EC3756"/>
    <w:rsid w:val="00EC3CD3"/>
    <w:rsid w:val="00EC3E11"/>
    <w:rsid w:val="00EC436A"/>
    <w:rsid w:val="00EC436D"/>
    <w:rsid w:val="00EC4E3B"/>
    <w:rsid w:val="00EC4FCD"/>
    <w:rsid w:val="00EC5619"/>
    <w:rsid w:val="00EC5A36"/>
    <w:rsid w:val="00EC6051"/>
    <w:rsid w:val="00EC6222"/>
    <w:rsid w:val="00EC64C9"/>
    <w:rsid w:val="00EC7229"/>
    <w:rsid w:val="00EC7432"/>
    <w:rsid w:val="00EC78A5"/>
    <w:rsid w:val="00ED04FC"/>
    <w:rsid w:val="00ED0837"/>
    <w:rsid w:val="00ED0877"/>
    <w:rsid w:val="00ED103F"/>
    <w:rsid w:val="00ED17B2"/>
    <w:rsid w:val="00ED2E27"/>
    <w:rsid w:val="00ED32DD"/>
    <w:rsid w:val="00ED336A"/>
    <w:rsid w:val="00ED34EC"/>
    <w:rsid w:val="00ED3E28"/>
    <w:rsid w:val="00ED3F01"/>
    <w:rsid w:val="00ED41DD"/>
    <w:rsid w:val="00ED51F2"/>
    <w:rsid w:val="00ED5771"/>
    <w:rsid w:val="00ED5860"/>
    <w:rsid w:val="00ED58C4"/>
    <w:rsid w:val="00ED5B42"/>
    <w:rsid w:val="00ED5F43"/>
    <w:rsid w:val="00ED6B5B"/>
    <w:rsid w:val="00ED7555"/>
    <w:rsid w:val="00ED79EE"/>
    <w:rsid w:val="00ED7A58"/>
    <w:rsid w:val="00EE094B"/>
    <w:rsid w:val="00EE0DB0"/>
    <w:rsid w:val="00EE120B"/>
    <w:rsid w:val="00EE1329"/>
    <w:rsid w:val="00EE1829"/>
    <w:rsid w:val="00EE19B7"/>
    <w:rsid w:val="00EE2265"/>
    <w:rsid w:val="00EE31D1"/>
    <w:rsid w:val="00EE3813"/>
    <w:rsid w:val="00EE3AF6"/>
    <w:rsid w:val="00EE45A9"/>
    <w:rsid w:val="00EE4732"/>
    <w:rsid w:val="00EE4E12"/>
    <w:rsid w:val="00EE5479"/>
    <w:rsid w:val="00EE57FA"/>
    <w:rsid w:val="00EE5CDE"/>
    <w:rsid w:val="00EE6817"/>
    <w:rsid w:val="00EE7216"/>
    <w:rsid w:val="00EE78BB"/>
    <w:rsid w:val="00EF0226"/>
    <w:rsid w:val="00EF0795"/>
    <w:rsid w:val="00EF0D75"/>
    <w:rsid w:val="00EF14DB"/>
    <w:rsid w:val="00EF222E"/>
    <w:rsid w:val="00EF272E"/>
    <w:rsid w:val="00EF2DD0"/>
    <w:rsid w:val="00EF42DD"/>
    <w:rsid w:val="00EF4509"/>
    <w:rsid w:val="00EF54CA"/>
    <w:rsid w:val="00EF559C"/>
    <w:rsid w:val="00EF560D"/>
    <w:rsid w:val="00EF5768"/>
    <w:rsid w:val="00EF57F0"/>
    <w:rsid w:val="00EF6B4F"/>
    <w:rsid w:val="00EF6C26"/>
    <w:rsid w:val="00EF6F4C"/>
    <w:rsid w:val="00EF73CF"/>
    <w:rsid w:val="00EF7427"/>
    <w:rsid w:val="00EF7762"/>
    <w:rsid w:val="00EF7E0B"/>
    <w:rsid w:val="00EF7E52"/>
    <w:rsid w:val="00F0008F"/>
    <w:rsid w:val="00F001F9"/>
    <w:rsid w:val="00F004F7"/>
    <w:rsid w:val="00F01DE4"/>
    <w:rsid w:val="00F01F57"/>
    <w:rsid w:val="00F025A7"/>
    <w:rsid w:val="00F0267C"/>
    <w:rsid w:val="00F02D8C"/>
    <w:rsid w:val="00F03841"/>
    <w:rsid w:val="00F048CB"/>
    <w:rsid w:val="00F05143"/>
    <w:rsid w:val="00F05447"/>
    <w:rsid w:val="00F05B2D"/>
    <w:rsid w:val="00F06E43"/>
    <w:rsid w:val="00F07F6F"/>
    <w:rsid w:val="00F10068"/>
    <w:rsid w:val="00F11468"/>
    <w:rsid w:val="00F121DF"/>
    <w:rsid w:val="00F12833"/>
    <w:rsid w:val="00F12CDA"/>
    <w:rsid w:val="00F12D8B"/>
    <w:rsid w:val="00F134E8"/>
    <w:rsid w:val="00F13743"/>
    <w:rsid w:val="00F13F7E"/>
    <w:rsid w:val="00F142D6"/>
    <w:rsid w:val="00F14F03"/>
    <w:rsid w:val="00F15594"/>
    <w:rsid w:val="00F15654"/>
    <w:rsid w:val="00F159E0"/>
    <w:rsid w:val="00F15EE3"/>
    <w:rsid w:val="00F171C7"/>
    <w:rsid w:val="00F1749A"/>
    <w:rsid w:val="00F176E4"/>
    <w:rsid w:val="00F179A7"/>
    <w:rsid w:val="00F20172"/>
    <w:rsid w:val="00F2072D"/>
    <w:rsid w:val="00F20C61"/>
    <w:rsid w:val="00F20CC5"/>
    <w:rsid w:val="00F210B6"/>
    <w:rsid w:val="00F2126D"/>
    <w:rsid w:val="00F21E2A"/>
    <w:rsid w:val="00F22798"/>
    <w:rsid w:val="00F22B15"/>
    <w:rsid w:val="00F22D26"/>
    <w:rsid w:val="00F23CFB"/>
    <w:rsid w:val="00F2404A"/>
    <w:rsid w:val="00F2413A"/>
    <w:rsid w:val="00F24EE2"/>
    <w:rsid w:val="00F258E1"/>
    <w:rsid w:val="00F25C44"/>
    <w:rsid w:val="00F26155"/>
    <w:rsid w:val="00F26C39"/>
    <w:rsid w:val="00F2748E"/>
    <w:rsid w:val="00F2795B"/>
    <w:rsid w:val="00F301B1"/>
    <w:rsid w:val="00F30273"/>
    <w:rsid w:val="00F306FD"/>
    <w:rsid w:val="00F31271"/>
    <w:rsid w:val="00F323AF"/>
    <w:rsid w:val="00F32872"/>
    <w:rsid w:val="00F3289B"/>
    <w:rsid w:val="00F337F5"/>
    <w:rsid w:val="00F33868"/>
    <w:rsid w:val="00F33CAD"/>
    <w:rsid w:val="00F33DF5"/>
    <w:rsid w:val="00F33FCB"/>
    <w:rsid w:val="00F34661"/>
    <w:rsid w:val="00F346F8"/>
    <w:rsid w:val="00F35334"/>
    <w:rsid w:val="00F35408"/>
    <w:rsid w:val="00F35BF4"/>
    <w:rsid w:val="00F35EF6"/>
    <w:rsid w:val="00F36446"/>
    <w:rsid w:val="00F3670C"/>
    <w:rsid w:val="00F36D4D"/>
    <w:rsid w:val="00F376F4"/>
    <w:rsid w:val="00F416B5"/>
    <w:rsid w:val="00F418A3"/>
    <w:rsid w:val="00F42062"/>
    <w:rsid w:val="00F42107"/>
    <w:rsid w:val="00F424E8"/>
    <w:rsid w:val="00F4267D"/>
    <w:rsid w:val="00F4350E"/>
    <w:rsid w:val="00F440D5"/>
    <w:rsid w:val="00F448C2"/>
    <w:rsid w:val="00F44F80"/>
    <w:rsid w:val="00F45410"/>
    <w:rsid w:val="00F458C4"/>
    <w:rsid w:val="00F45BC9"/>
    <w:rsid w:val="00F4788B"/>
    <w:rsid w:val="00F47C35"/>
    <w:rsid w:val="00F506CA"/>
    <w:rsid w:val="00F50D8F"/>
    <w:rsid w:val="00F51020"/>
    <w:rsid w:val="00F5168A"/>
    <w:rsid w:val="00F51C22"/>
    <w:rsid w:val="00F51D9F"/>
    <w:rsid w:val="00F52915"/>
    <w:rsid w:val="00F52941"/>
    <w:rsid w:val="00F529B6"/>
    <w:rsid w:val="00F52B1B"/>
    <w:rsid w:val="00F53B0E"/>
    <w:rsid w:val="00F5404E"/>
    <w:rsid w:val="00F540DD"/>
    <w:rsid w:val="00F5471D"/>
    <w:rsid w:val="00F54BA5"/>
    <w:rsid w:val="00F550E3"/>
    <w:rsid w:val="00F5522C"/>
    <w:rsid w:val="00F553D9"/>
    <w:rsid w:val="00F55907"/>
    <w:rsid w:val="00F55C1D"/>
    <w:rsid w:val="00F55DCC"/>
    <w:rsid w:val="00F55DF2"/>
    <w:rsid w:val="00F561B1"/>
    <w:rsid w:val="00F56915"/>
    <w:rsid w:val="00F57A2C"/>
    <w:rsid w:val="00F57BAD"/>
    <w:rsid w:val="00F60A1E"/>
    <w:rsid w:val="00F615BA"/>
    <w:rsid w:val="00F61AB2"/>
    <w:rsid w:val="00F6274F"/>
    <w:rsid w:val="00F63315"/>
    <w:rsid w:val="00F63537"/>
    <w:rsid w:val="00F6390C"/>
    <w:rsid w:val="00F63C99"/>
    <w:rsid w:val="00F64E4F"/>
    <w:rsid w:val="00F64E8C"/>
    <w:rsid w:val="00F6509A"/>
    <w:rsid w:val="00F65DB0"/>
    <w:rsid w:val="00F661FB"/>
    <w:rsid w:val="00F67A40"/>
    <w:rsid w:val="00F70406"/>
    <w:rsid w:val="00F70ED9"/>
    <w:rsid w:val="00F71C44"/>
    <w:rsid w:val="00F73526"/>
    <w:rsid w:val="00F73E49"/>
    <w:rsid w:val="00F741E0"/>
    <w:rsid w:val="00F74298"/>
    <w:rsid w:val="00F745FF"/>
    <w:rsid w:val="00F74B0D"/>
    <w:rsid w:val="00F74EAF"/>
    <w:rsid w:val="00F75140"/>
    <w:rsid w:val="00F7521F"/>
    <w:rsid w:val="00F75CDE"/>
    <w:rsid w:val="00F76909"/>
    <w:rsid w:val="00F7716F"/>
    <w:rsid w:val="00F778B1"/>
    <w:rsid w:val="00F80124"/>
    <w:rsid w:val="00F8062C"/>
    <w:rsid w:val="00F80674"/>
    <w:rsid w:val="00F806B1"/>
    <w:rsid w:val="00F80864"/>
    <w:rsid w:val="00F80E1E"/>
    <w:rsid w:val="00F81EA0"/>
    <w:rsid w:val="00F821D6"/>
    <w:rsid w:val="00F82284"/>
    <w:rsid w:val="00F828B0"/>
    <w:rsid w:val="00F82F66"/>
    <w:rsid w:val="00F83307"/>
    <w:rsid w:val="00F840A3"/>
    <w:rsid w:val="00F84144"/>
    <w:rsid w:val="00F84279"/>
    <w:rsid w:val="00F84D28"/>
    <w:rsid w:val="00F8565D"/>
    <w:rsid w:val="00F85672"/>
    <w:rsid w:val="00F856E8"/>
    <w:rsid w:val="00F86AAD"/>
    <w:rsid w:val="00F8736F"/>
    <w:rsid w:val="00F91037"/>
    <w:rsid w:val="00F91238"/>
    <w:rsid w:val="00F91F88"/>
    <w:rsid w:val="00F91FAA"/>
    <w:rsid w:val="00F92119"/>
    <w:rsid w:val="00F92AD0"/>
    <w:rsid w:val="00F93255"/>
    <w:rsid w:val="00F9339F"/>
    <w:rsid w:val="00F9520E"/>
    <w:rsid w:val="00F95ED5"/>
    <w:rsid w:val="00F963EB"/>
    <w:rsid w:val="00F96E37"/>
    <w:rsid w:val="00FA0B71"/>
    <w:rsid w:val="00FA0C84"/>
    <w:rsid w:val="00FA1189"/>
    <w:rsid w:val="00FA216E"/>
    <w:rsid w:val="00FA3C64"/>
    <w:rsid w:val="00FA3DC0"/>
    <w:rsid w:val="00FA4075"/>
    <w:rsid w:val="00FA4181"/>
    <w:rsid w:val="00FA4743"/>
    <w:rsid w:val="00FA50EB"/>
    <w:rsid w:val="00FA5913"/>
    <w:rsid w:val="00FA5E6A"/>
    <w:rsid w:val="00FA7BD9"/>
    <w:rsid w:val="00FA7C4A"/>
    <w:rsid w:val="00FB052D"/>
    <w:rsid w:val="00FB094D"/>
    <w:rsid w:val="00FB0A8E"/>
    <w:rsid w:val="00FB0DC7"/>
    <w:rsid w:val="00FB1558"/>
    <w:rsid w:val="00FB1F5D"/>
    <w:rsid w:val="00FB2373"/>
    <w:rsid w:val="00FB2CEB"/>
    <w:rsid w:val="00FB5103"/>
    <w:rsid w:val="00FB5932"/>
    <w:rsid w:val="00FB5B9E"/>
    <w:rsid w:val="00FB6168"/>
    <w:rsid w:val="00FB66E9"/>
    <w:rsid w:val="00FB670A"/>
    <w:rsid w:val="00FB79F6"/>
    <w:rsid w:val="00FC0758"/>
    <w:rsid w:val="00FC14B7"/>
    <w:rsid w:val="00FC152A"/>
    <w:rsid w:val="00FC177E"/>
    <w:rsid w:val="00FC192E"/>
    <w:rsid w:val="00FC2183"/>
    <w:rsid w:val="00FC275D"/>
    <w:rsid w:val="00FC354F"/>
    <w:rsid w:val="00FC37F2"/>
    <w:rsid w:val="00FC4A87"/>
    <w:rsid w:val="00FC5103"/>
    <w:rsid w:val="00FC53C3"/>
    <w:rsid w:val="00FC597A"/>
    <w:rsid w:val="00FC5A9C"/>
    <w:rsid w:val="00FC6176"/>
    <w:rsid w:val="00FC6CAD"/>
    <w:rsid w:val="00FC6EC3"/>
    <w:rsid w:val="00FC729A"/>
    <w:rsid w:val="00FC7C38"/>
    <w:rsid w:val="00FD0043"/>
    <w:rsid w:val="00FD01A5"/>
    <w:rsid w:val="00FD031A"/>
    <w:rsid w:val="00FD0357"/>
    <w:rsid w:val="00FD14F8"/>
    <w:rsid w:val="00FD1A86"/>
    <w:rsid w:val="00FD1E3E"/>
    <w:rsid w:val="00FD25BE"/>
    <w:rsid w:val="00FD2610"/>
    <w:rsid w:val="00FD28E9"/>
    <w:rsid w:val="00FD37EE"/>
    <w:rsid w:val="00FD60EE"/>
    <w:rsid w:val="00FD6221"/>
    <w:rsid w:val="00FD6939"/>
    <w:rsid w:val="00FD6B43"/>
    <w:rsid w:val="00FD6C4C"/>
    <w:rsid w:val="00FD7787"/>
    <w:rsid w:val="00FD7884"/>
    <w:rsid w:val="00FD7A77"/>
    <w:rsid w:val="00FE02D9"/>
    <w:rsid w:val="00FE07E3"/>
    <w:rsid w:val="00FE0B9F"/>
    <w:rsid w:val="00FE1383"/>
    <w:rsid w:val="00FE220D"/>
    <w:rsid w:val="00FE23D8"/>
    <w:rsid w:val="00FE29C4"/>
    <w:rsid w:val="00FE2D81"/>
    <w:rsid w:val="00FE2ECE"/>
    <w:rsid w:val="00FE3AD5"/>
    <w:rsid w:val="00FE3C13"/>
    <w:rsid w:val="00FE4593"/>
    <w:rsid w:val="00FE475A"/>
    <w:rsid w:val="00FE47A2"/>
    <w:rsid w:val="00FE493C"/>
    <w:rsid w:val="00FE4B07"/>
    <w:rsid w:val="00FE4BF5"/>
    <w:rsid w:val="00FE4ED2"/>
    <w:rsid w:val="00FE538D"/>
    <w:rsid w:val="00FE5801"/>
    <w:rsid w:val="00FE5A56"/>
    <w:rsid w:val="00FE5DEC"/>
    <w:rsid w:val="00FE5F40"/>
    <w:rsid w:val="00FE6240"/>
    <w:rsid w:val="00FE6618"/>
    <w:rsid w:val="00FE6939"/>
    <w:rsid w:val="00FE7A6B"/>
    <w:rsid w:val="00FF0148"/>
    <w:rsid w:val="00FF01DA"/>
    <w:rsid w:val="00FF0909"/>
    <w:rsid w:val="00FF2B34"/>
    <w:rsid w:val="00FF2D14"/>
    <w:rsid w:val="00FF3971"/>
    <w:rsid w:val="00FF3E43"/>
    <w:rsid w:val="00FF43F0"/>
    <w:rsid w:val="00FF4856"/>
    <w:rsid w:val="00FF4CD9"/>
    <w:rsid w:val="00FF4DE1"/>
    <w:rsid w:val="00FF54A2"/>
    <w:rsid w:val="00FF723C"/>
    <w:rsid w:val="00FF7D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F5FCFF"/>
  <w15:chartTrackingRefBased/>
  <w15:docId w15:val="{226F8C05-D2C1-4CAE-AA8D-7E3D4C9F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B5E"/>
    <w:rPr>
      <w:rFonts w:ascii="Times" w:eastAsia="Times" w:hAnsi="Times"/>
      <w:sz w:val="24"/>
    </w:rPr>
  </w:style>
  <w:style w:type="paragraph" w:styleId="Heading1">
    <w:name w:val="heading 1"/>
    <w:basedOn w:val="ListParagraph"/>
    <w:next w:val="Normal"/>
    <w:link w:val="Heading1Char"/>
    <w:uiPriority w:val="9"/>
    <w:qFormat/>
    <w:rsid w:val="00A16F8A"/>
    <w:pPr>
      <w:numPr>
        <w:numId w:val="5"/>
      </w:numPr>
      <w:spacing w:line="276" w:lineRule="auto"/>
      <w:ind w:left="360"/>
      <w:jc w:val="both"/>
      <w:outlineLvl w:val="0"/>
    </w:pPr>
    <w:rPr>
      <w:rFonts w:ascii="Times New Roman" w:hAnsi="Times New Roman"/>
      <w:b/>
      <w:bCs/>
    </w:rPr>
  </w:style>
  <w:style w:type="paragraph" w:styleId="Heading2">
    <w:name w:val="heading 2"/>
    <w:basedOn w:val="ListParagraph"/>
    <w:next w:val="Normal"/>
    <w:link w:val="Heading2Char"/>
    <w:uiPriority w:val="9"/>
    <w:unhideWhenUsed/>
    <w:qFormat/>
    <w:rsid w:val="00F2748E"/>
    <w:pPr>
      <w:numPr>
        <w:ilvl w:val="1"/>
        <w:numId w:val="5"/>
      </w:numPr>
      <w:spacing w:line="276" w:lineRule="auto"/>
      <w:ind w:left="540" w:hanging="450"/>
      <w:outlineLvl w:val="1"/>
    </w:pPr>
    <w:rPr>
      <w:rFonts w:ascii="Times New Roman" w:hAnsi="Times New Roman"/>
      <w:b/>
    </w:rPr>
  </w:style>
  <w:style w:type="paragraph" w:styleId="Heading3">
    <w:name w:val="heading 3"/>
    <w:basedOn w:val="ListParagraph"/>
    <w:next w:val="Normal"/>
    <w:link w:val="Heading3Char"/>
    <w:uiPriority w:val="9"/>
    <w:unhideWhenUsed/>
    <w:qFormat/>
    <w:rsid w:val="000957D1"/>
    <w:pPr>
      <w:numPr>
        <w:ilvl w:val="2"/>
        <w:numId w:val="5"/>
      </w:numPr>
      <w:ind w:left="720"/>
      <w:outlineLvl w:val="2"/>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4DC"/>
    <w:pPr>
      <w:tabs>
        <w:tab w:val="center" w:pos="4680"/>
        <w:tab w:val="right" w:pos="9360"/>
      </w:tabs>
    </w:pPr>
  </w:style>
  <w:style w:type="character" w:customStyle="1" w:styleId="HeaderChar">
    <w:name w:val="Header Char"/>
    <w:link w:val="Header"/>
    <w:uiPriority w:val="99"/>
    <w:rsid w:val="002134DC"/>
    <w:rPr>
      <w:rFonts w:ascii="Times" w:eastAsia="Times" w:hAnsi="Times" w:cs="Times New Roman"/>
      <w:kern w:val="0"/>
      <w:sz w:val="24"/>
      <w:szCs w:val="20"/>
      <w:lang w:eastAsia="en-US"/>
    </w:rPr>
  </w:style>
  <w:style w:type="paragraph" w:styleId="Footer">
    <w:name w:val="footer"/>
    <w:basedOn w:val="Normal"/>
    <w:link w:val="FooterChar"/>
    <w:uiPriority w:val="99"/>
    <w:unhideWhenUsed/>
    <w:rsid w:val="002134DC"/>
    <w:pPr>
      <w:tabs>
        <w:tab w:val="center" w:pos="4680"/>
        <w:tab w:val="right" w:pos="9360"/>
      </w:tabs>
    </w:pPr>
  </w:style>
  <w:style w:type="character" w:customStyle="1" w:styleId="FooterChar">
    <w:name w:val="Footer Char"/>
    <w:link w:val="Footer"/>
    <w:uiPriority w:val="99"/>
    <w:rsid w:val="002134DC"/>
    <w:rPr>
      <w:rFonts w:ascii="Times" w:eastAsia="Times" w:hAnsi="Times" w:cs="Times New Roman"/>
      <w:kern w:val="0"/>
      <w:sz w:val="24"/>
      <w:szCs w:val="20"/>
      <w:lang w:eastAsia="en-US"/>
    </w:rPr>
  </w:style>
  <w:style w:type="paragraph" w:styleId="Revision">
    <w:name w:val="Revision"/>
    <w:hidden/>
    <w:uiPriority w:val="99"/>
    <w:semiHidden/>
    <w:rsid w:val="00474FC1"/>
    <w:rPr>
      <w:rFonts w:ascii="Times" w:eastAsia="Times" w:hAnsi="Times"/>
      <w:sz w:val="24"/>
    </w:rPr>
  </w:style>
  <w:style w:type="character" w:styleId="CommentReference">
    <w:name w:val="annotation reference"/>
    <w:uiPriority w:val="99"/>
    <w:semiHidden/>
    <w:unhideWhenUsed/>
    <w:rsid w:val="00C163B7"/>
    <w:rPr>
      <w:sz w:val="16"/>
      <w:szCs w:val="16"/>
    </w:rPr>
  </w:style>
  <w:style w:type="paragraph" w:styleId="CommentText">
    <w:name w:val="annotation text"/>
    <w:basedOn w:val="Normal"/>
    <w:link w:val="CommentTextChar"/>
    <w:uiPriority w:val="99"/>
    <w:unhideWhenUsed/>
    <w:rsid w:val="00C163B7"/>
    <w:rPr>
      <w:sz w:val="20"/>
    </w:rPr>
  </w:style>
  <w:style w:type="character" w:customStyle="1" w:styleId="CommentTextChar">
    <w:name w:val="Comment Text Char"/>
    <w:link w:val="CommentText"/>
    <w:uiPriority w:val="99"/>
    <w:rsid w:val="00C163B7"/>
    <w:rPr>
      <w:rFonts w:ascii="Times" w:eastAsia="Times" w:hAnsi="Times" w:cs="Times New Roman"/>
      <w:kern w:val="0"/>
      <w:sz w:val="20"/>
      <w:szCs w:val="20"/>
      <w:lang w:eastAsia="en-US"/>
    </w:rPr>
  </w:style>
  <w:style w:type="paragraph" w:styleId="CommentSubject">
    <w:name w:val="annotation subject"/>
    <w:basedOn w:val="CommentText"/>
    <w:next w:val="CommentText"/>
    <w:link w:val="CommentSubjectChar"/>
    <w:uiPriority w:val="99"/>
    <w:semiHidden/>
    <w:unhideWhenUsed/>
    <w:rsid w:val="00C163B7"/>
    <w:rPr>
      <w:b/>
      <w:bCs/>
    </w:rPr>
  </w:style>
  <w:style w:type="character" w:customStyle="1" w:styleId="CommentSubjectChar">
    <w:name w:val="Comment Subject Char"/>
    <w:link w:val="CommentSubject"/>
    <w:uiPriority w:val="99"/>
    <w:semiHidden/>
    <w:rsid w:val="00C163B7"/>
    <w:rPr>
      <w:rFonts w:ascii="Times" w:eastAsia="Times" w:hAnsi="Times" w:cs="Times New Roman"/>
      <w:b/>
      <w:bCs/>
      <w:kern w:val="0"/>
      <w:sz w:val="20"/>
      <w:szCs w:val="20"/>
      <w:lang w:eastAsia="en-US"/>
    </w:rPr>
  </w:style>
  <w:style w:type="paragraph" w:styleId="NormalWeb">
    <w:name w:val="Normal (Web)"/>
    <w:basedOn w:val="Normal"/>
    <w:uiPriority w:val="99"/>
    <w:semiHidden/>
    <w:unhideWhenUsed/>
    <w:rsid w:val="003D10B7"/>
    <w:pPr>
      <w:spacing w:before="100" w:beforeAutospacing="1" w:after="100" w:afterAutospacing="1"/>
    </w:pPr>
    <w:rPr>
      <w:rFonts w:ascii="Times New Roman" w:eastAsia="Times New Roman" w:hAnsi="Times New Roman"/>
      <w:szCs w:val="24"/>
      <w:lang w:eastAsia="ko-KR"/>
    </w:rPr>
  </w:style>
  <w:style w:type="character" w:styleId="Hyperlink">
    <w:name w:val="Hyperlink"/>
    <w:uiPriority w:val="99"/>
    <w:unhideWhenUsed/>
    <w:rsid w:val="003D10B7"/>
    <w:rPr>
      <w:color w:val="0563C1"/>
      <w:u w:val="single"/>
    </w:rPr>
  </w:style>
  <w:style w:type="paragraph" w:styleId="ListParagraph">
    <w:name w:val="List Paragraph"/>
    <w:basedOn w:val="Normal"/>
    <w:uiPriority w:val="34"/>
    <w:qFormat/>
    <w:rsid w:val="00977AA6"/>
    <w:pPr>
      <w:ind w:left="720"/>
      <w:contextualSpacing/>
    </w:pPr>
  </w:style>
  <w:style w:type="character" w:styleId="UnresolvedMention">
    <w:name w:val="Unresolved Mention"/>
    <w:uiPriority w:val="99"/>
    <w:semiHidden/>
    <w:unhideWhenUsed/>
    <w:rsid w:val="002E0488"/>
    <w:rPr>
      <w:color w:val="605E5C"/>
      <w:shd w:val="clear" w:color="auto" w:fill="E1DFDD"/>
    </w:rPr>
  </w:style>
  <w:style w:type="paragraph" w:styleId="Bibliography">
    <w:name w:val="Bibliography"/>
    <w:basedOn w:val="Normal"/>
    <w:next w:val="Normal"/>
    <w:uiPriority w:val="37"/>
    <w:unhideWhenUsed/>
    <w:rsid w:val="004D0CB6"/>
    <w:pPr>
      <w:spacing w:line="480" w:lineRule="auto"/>
      <w:ind w:left="720" w:hanging="720"/>
    </w:pPr>
  </w:style>
  <w:style w:type="paragraph" w:styleId="BalloonText">
    <w:name w:val="Balloon Text"/>
    <w:basedOn w:val="Normal"/>
    <w:link w:val="BalloonTextChar"/>
    <w:uiPriority w:val="99"/>
    <w:semiHidden/>
    <w:unhideWhenUsed/>
    <w:rsid w:val="00F4350E"/>
    <w:rPr>
      <w:rFonts w:ascii="Segoe UI" w:hAnsi="Segoe UI" w:cs="Segoe UI"/>
      <w:sz w:val="18"/>
      <w:szCs w:val="18"/>
    </w:rPr>
  </w:style>
  <w:style w:type="character" w:customStyle="1" w:styleId="BalloonTextChar">
    <w:name w:val="Balloon Text Char"/>
    <w:link w:val="BalloonText"/>
    <w:uiPriority w:val="99"/>
    <w:semiHidden/>
    <w:rsid w:val="00F4350E"/>
    <w:rPr>
      <w:rFonts w:ascii="Segoe UI" w:eastAsia="Times" w:hAnsi="Segoe UI" w:cs="Segoe UI"/>
      <w:sz w:val="18"/>
      <w:szCs w:val="18"/>
      <w:lang w:eastAsia="en-US"/>
    </w:rPr>
  </w:style>
  <w:style w:type="character" w:styleId="FollowedHyperlink">
    <w:name w:val="FollowedHyperlink"/>
    <w:basedOn w:val="DefaultParagraphFont"/>
    <w:uiPriority w:val="99"/>
    <w:semiHidden/>
    <w:unhideWhenUsed/>
    <w:rsid w:val="0034175F"/>
    <w:rPr>
      <w:color w:val="954F72" w:themeColor="followedHyperlink"/>
      <w:u w:val="single"/>
    </w:rPr>
  </w:style>
  <w:style w:type="character" w:styleId="LineNumber">
    <w:name w:val="line number"/>
    <w:basedOn w:val="DefaultParagraphFont"/>
    <w:uiPriority w:val="99"/>
    <w:semiHidden/>
    <w:unhideWhenUsed/>
    <w:rsid w:val="00A7277F"/>
  </w:style>
  <w:style w:type="table" w:styleId="TableGrid">
    <w:name w:val="Table Grid"/>
    <w:basedOn w:val="TableNormal"/>
    <w:uiPriority w:val="39"/>
    <w:rsid w:val="002B1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43C4D"/>
    <w:pPr>
      <w:spacing w:after="200"/>
    </w:pPr>
    <w:rPr>
      <w:i/>
      <w:iCs/>
      <w:color w:val="44546A" w:themeColor="text2"/>
      <w:sz w:val="18"/>
      <w:szCs w:val="18"/>
    </w:rPr>
  </w:style>
  <w:style w:type="character" w:customStyle="1" w:styleId="Heading1Char">
    <w:name w:val="Heading 1 Char"/>
    <w:basedOn w:val="DefaultParagraphFont"/>
    <w:link w:val="Heading1"/>
    <w:uiPriority w:val="9"/>
    <w:rsid w:val="00A16F8A"/>
    <w:rPr>
      <w:rFonts w:ascii="Times New Roman" w:eastAsia="Times" w:hAnsi="Times New Roman"/>
      <w:b/>
      <w:bCs/>
      <w:sz w:val="24"/>
    </w:rPr>
  </w:style>
  <w:style w:type="character" w:customStyle="1" w:styleId="Heading2Char">
    <w:name w:val="Heading 2 Char"/>
    <w:basedOn w:val="DefaultParagraphFont"/>
    <w:link w:val="Heading2"/>
    <w:uiPriority w:val="9"/>
    <w:rsid w:val="00F2748E"/>
    <w:rPr>
      <w:rFonts w:ascii="Times New Roman" w:eastAsia="Times" w:hAnsi="Times New Roman"/>
      <w:b/>
      <w:sz w:val="24"/>
    </w:rPr>
  </w:style>
  <w:style w:type="character" w:customStyle="1" w:styleId="Heading3Char">
    <w:name w:val="Heading 3 Char"/>
    <w:basedOn w:val="DefaultParagraphFont"/>
    <w:link w:val="Heading3"/>
    <w:uiPriority w:val="9"/>
    <w:rsid w:val="000957D1"/>
    <w:rPr>
      <w:rFonts w:ascii="Times" w:eastAsia="Times" w:hAnsi="Times"/>
      <w:b/>
      <w:i/>
      <w:sz w:val="24"/>
      <w:u w:val="single"/>
    </w:rPr>
  </w:style>
  <w:style w:type="character" w:styleId="PlaceholderText">
    <w:name w:val="Placeholder Text"/>
    <w:basedOn w:val="DefaultParagraphFont"/>
    <w:uiPriority w:val="99"/>
    <w:semiHidden/>
    <w:rsid w:val="00FB5B9E"/>
    <w:rPr>
      <w:color w:val="808080"/>
    </w:rPr>
  </w:style>
  <w:style w:type="paragraph" w:customStyle="1" w:styleId="whitespace-pre-wrap">
    <w:name w:val="whitespace-pre-wrap"/>
    <w:basedOn w:val="Normal"/>
    <w:rsid w:val="00B62B00"/>
    <w:pPr>
      <w:spacing w:before="100" w:beforeAutospacing="1" w:after="100" w:afterAutospacing="1"/>
    </w:pPr>
    <w:rPr>
      <w:rFonts w:ascii="Times New Roman" w:eastAsia="Times New Roman" w:hAnsi="Times New Roman"/>
      <w:szCs w:val="24"/>
    </w:rPr>
  </w:style>
  <w:style w:type="paragraph" w:customStyle="1" w:styleId="whitespace-normal">
    <w:name w:val="whitespace-normal"/>
    <w:basedOn w:val="Normal"/>
    <w:rsid w:val="00B62B00"/>
    <w:pPr>
      <w:spacing w:before="100" w:beforeAutospacing="1" w:after="100" w:afterAutospacing="1"/>
    </w:pPr>
    <w:rPr>
      <w:rFonts w:ascii="Times New Roman" w:eastAsia="Times New Roman" w:hAnsi="Times New Roman"/>
      <w:szCs w:val="24"/>
    </w:rPr>
  </w:style>
  <w:style w:type="paragraph" w:customStyle="1" w:styleId="c-bibliographic-informationcitation">
    <w:name w:val="c-bibliographic-information__citation"/>
    <w:basedOn w:val="Normal"/>
    <w:rsid w:val="00E0612F"/>
    <w:pPr>
      <w:spacing w:before="100" w:beforeAutospacing="1" w:after="100" w:afterAutospacing="1"/>
    </w:pPr>
    <w:rPr>
      <w:rFonts w:ascii="Times New Roman" w:eastAsia="Times New Roman" w:hAnsi="Times New Roman"/>
      <w:szCs w:val="24"/>
    </w:rPr>
  </w:style>
  <w:style w:type="paragraph" w:styleId="FootnoteText">
    <w:name w:val="footnote text"/>
    <w:basedOn w:val="Normal"/>
    <w:link w:val="FootnoteTextChar"/>
    <w:uiPriority w:val="99"/>
    <w:unhideWhenUsed/>
    <w:rsid w:val="00BB1459"/>
    <w:rPr>
      <w:sz w:val="20"/>
    </w:rPr>
  </w:style>
  <w:style w:type="character" w:customStyle="1" w:styleId="FootnoteTextChar">
    <w:name w:val="Footnote Text Char"/>
    <w:basedOn w:val="DefaultParagraphFont"/>
    <w:link w:val="FootnoteText"/>
    <w:uiPriority w:val="99"/>
    <w:rsid w:val="00BB1459"/>
    <w:rPr>
      <w:rFonts w:ascii="Times" w:eastAsia="Times" w:hAnsi="Times"/>
    </w:rPr>
  </w:style>
  <w:style w:type="character" w:styleId="FootnoteReference">
    <w:name w:val="footnote reference"/>
    <w:basedOn w:val="DefaultParagraphFont"/>
    <w:uiPriority w:val="99"/>
    <w:semiHidden/>
    <w:unhideWhenUsed/>
    <w:rsid w:val="00BB1459"/>
    <w:rPr>
      <w:vertAlign w:val="superscript"/>
    </w:rPr>
  </w:style>
  <w:style w:type="character" w:customStyle="1" w:styleId="ng-star-inserted">
    <w:name w:val="ng-star-inserted"/>
    <w:basedOn w:val="DefaultParagraphFont"/>
    <w:rsid w:val="00B53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1462">
      <w:bodyDiv w:val="1"/>
      <w:marLeft w:val="0"/>
      <w:marRight w:val="0"/>
      <w:marTop w:val="0"/>
      <w:marBottom w:val="0"/>
      <w:divBdr>
        <w:top w:val="none" w:sz="0" w:space="0" w:color="auto"/>
        <w:left w:val="none" w:sz="0" w:space="0" w:color="auto"/>
        <w:bottom w:val="none" w:sz="0" w:space="0" w:color="auto"/>
        <w:right w:val="none" w:sz="0" w:space="0" w:color="auto"/>
      </w:divBdr>
    </w:div>
    <w:div w:id="169805535">
      <w:bodyDiv w:val="1"/>
      <w:marLeft w:val="0"/>
      <w:marRight w:val="0"/>
      <w:marTop w:val="0"/>
      <w:marBottom w:val="0"/>
      <w:divBdr>
        <w:top w:val="none" w:sz="0" w:space="0" w:color="auto"/>
        <w:left w:val="none" w:sz="0" w:space="0" w:color="auto"/>
        <w:bottom w:val="none" w:sz="0" w:space="0" w:color="auto"/>
        <w:right w:val="none" w:sz="0" w:space="0" w:color="auto"/>
      </w:divBdr>
      <w:divsChild>
        <w:div w:id="139751275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325279320">
      <w:bodyDiv w:val="1"/>
      <w:marLeft w:val="0"/>
      <w:marRight w:val="0"/>
      <w:marTop w:val="0"/>
      <w:marBottom w:val="0"/>
      <w:divBdr>
        <w:top w:val="none" w:sz="0" w:space="0" w:color="auto"/>
        <w:left w:val="none" w:sz="0" w:space="0" w:color="auto"/>
        <w:bottom w:val="none" w:sz="0" w:space="0" w:color="auto"/>
        <w:right w:val="none" w:sz="0" w:space="0" w:color="auto"/>
      </w:divBdr>
    </w:div>
    <w:div w:id="325860576">
      <w:bodyDiv w:val="1"/>
      <w:marLeft w:val="0"/>
      <w:marRight w:val="0"/>
      <w:marTop w:val="0"/>
      <w:marBottom w:val="0"/>
      <w:divBdr>
        <w:top w:val="none" w:sz="0" w:space="0" w:color="auto"/>
        <w:left w:val="none" w:sz="0" w:space="0" w:color="auto"/>
        <w:bottom w:val="none" w:sz="0" w:space="0" w:color="auto"/>
        <w:right w:val="none" w:sz="0" w:space="0" w:color="auto"/>
      </w:divBdr>
    </w:div>
    <w:div w:id="374817032">
      <w:bodyDiv w:val="1"/>
      <w:marLeft w:val="0"/>
      <w:marRight w:val="0"/>
      <w:marTop w:val="0"/>
      <w:marBottom w:val="0"/>
      <w:divBdr>
        <w:top w:val="none" w:sz="0" w:space="0" w:color="auto"/>
        <w:left w:val="none" w:sz="0" w:space="0" w:color="auto"/>
        <w:bottom w:val="none" w:sz="0" w:space="0" w:color="auto"/>
        <w:right w:val="none" w:sz="0" w:space="0" w:color="auto"/>
      </w:divBdr>
    </w:div>
    <w:div w:id="497036161">
      <w:bodyDiv w:val="1"/>
      <w:marLeft w:val="0"/>
      <w:marRight w:val="0"/>
      <w:marTop w:val="0"/>
      <w:marBottom w:val="0"/>
      <w:divBdr>
        <w:top w:val="none" w:sz="0" w:space="0" w:color="auto"/>
        <w:left w:val="none" w:sz="0" w:space="0" w:color="auto"/>
        <w:bottom w:val="none" w:sz="0" w:space="0" w:color="auto"/>
        <w:right w:val="none" w:sz="0" w:space="0" w:color="auto"/>
      </w:divBdr>
    </w:div>
    <w:div w:id="503086826">
      <w:bodyDiv w:val="1"/>
      <w:marLeft w:val="0"/>
      <w:marRight w:val="0"/>
      <w:marTop w:val="0"/>
      <w:marBottom w:val="0"/>
      <w:divBdr>
        <w:top w:val="none" w:sz="0" w:space="0" w:color="auto"/>
        <w:left w:val="none" w:sz="0" w:space="0" w:color="auto"/>
        <w:bottom w:val="none" w:sz="0" w:space="0" w:color="auto"/>
        <w:right w:val="none" w:sz="0" w:space="0" w:color="auto"/>
      </w:divBdr>
    </w:div>
    <w:div w:id="543325161">
      <w:bodyDiv w:val="1"/>
      <w:marLeft w:val="0"/>
      <w:marRight w:val="0"/>
      <w:marTop w:val="0"/>
      <w:marBottom w:val="0"/>
      <w:divBdr>
        <w:top w:val="none" w:sz="0" w:space="0" w:color="auto"/>
        <w:left w:val="none" w:sz="0" w:space="0" w:color="auto"/>
        <w:bottom w:val="none" w:sz="0" w:space="0" w:color="auto"/>
        <w:right w:val="none" w:sz="0" w:space="0" w:color="auto"/>
      </w:divBdr>
    </w:div>
    <w:div w:id="557328488">
      <w:bodyDiv w:val="1"/>
      <w:marLeft w:val="0"/>
      <w:marRight w:val="0"/>
      <w:marTop w:val="0"/>
      <w:marBottom w:val="0"/>
      <w:divBdr>
        <w:top w:val="none" w:sz="0" w:space="0" w:color="auto"/>
        <w:left w:val="none" w:sz="0" w:space="0" w:color="auto"/>
        <w:bottom w:val="none" w:sz="0" w:space="0" w:color="auto"/>
        <w:right w:val="none" w:sz="0" w:space="0" w:color="auto"/>
      </w:divBdr>
    </w:div>
    <w:div w:id="619996448">
      <w:bodyDiv w:val="1"/>
      <w:marLeft w:val="0"/>
      <w:marRight w:val="0"/>
      <w:marTop w:val="0"/>
      <w:marBottom w:val="0"/>
      <w:divBdr>
        <w:top w:val="none" w:sz="0" w:space="0" w:color="auto"/>
        <w:left w:val="none" w:sz="0" w:space="0" w:color="auto"/>
        <w:bottom w:val="none" w:sz="0" w:space="0" w:color="auto"/>
        <w:right w:val="none" w:sz="0" w:space="0" w:color="auto"/>
      </w:divBdr>
    </w:div>
    <w:div w:id="722023757">
      <w:bodyDiv w:val="1"/>
      <w:marLeft w:val="0"/>
      <w:marRight w:val="0"/>
      <w:marTop w:val="0"/>
      <w:marBottom w:val="0"/>
      <w:divBdr>
        <w:top w:val="none" w:sz="0" w:space="0" w:color="auto"/>
        <w:left w:val="none" w:sz="0" w:space="0" w:color="auto"/>
        <w:bottom w:val="none" w:sz="0" w:space="0" w:color="auto"/>
        <w:right w:val="none" w:sz="0" w:space="0" w:color="auto"/>
      </w:divBdr>
    </w:div>
    <w:div w:id="737677406">
      <w:bodyDiv w:val="1"/>
      <w:marLeft w:val="0"/>
      <w:marRight w:val="0"/>
      <w:marTop w:val="0"/>
      <w:marBottom w:val="0"/>
      <w:divBdr>
        <w:top w:val="none" w:sz="0" w:space="0" w:color="auto"/>
        <w:left w:val="none" w:sz="0" w:space="0" w:color="auto"/>
        <w:bottom w:val="none" w:sz="0" w:space="0" w:color="auto"/>
        <w:right w:val="none" w:sz="0" w:space="0" w:color="auto"/>
      </w:divBdr>
      <w:divsChild>
        <w:div w:id="43536601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228304400">
      <w:bodyDiv w:val="1"/>
      <w:marLeft w:val="0"/>
      <w:marRight w:val="0"/>
      <w:marTop w:val="0"/>
      <w:marBottom w:val="0"/>
      <w:divBdr>
        <w:top w:val="none" w:sz="0" w:space="0" w:color="auto"/>
        <w:left w:val="none" w:sz="0" w:space="0" w:color="auto"/>
        <w:bottom w:val="none" w:sz="0" w:space="0" w:color="auto"/>
        <w:right w:val="none" w:sz="0" w:space="0" w:color="auto"/>
      </w:divBdr>
    </w:div>
    <w:div w:id="1250232107">
      <w:bodyDiv w:val="1"/>
      <w:marLeft w:val="0"/>
      <w:marRight w:val="0"/>
      <w:marTop w:val="0"/>
      <w:marBottom w:val="0"/>
      <w:divBdr>
        <w:top w:val="none" w:sz="0" w:space="0" w:color="auto"/>
        <w:left w:val="none" w:sz="0" w:space="0" w:color="auto"/>
        <w:bottom w:val="none" w:sz="0" w:space="0" w:color="auto"/>
        <w:right w:val="none" w:sz="0" w:space="0" w:color="auto"/>
      </w:divBdr>
    </w:div>
    <w:div w:id="1254052556">
      <w:bodyDiv w:val="1"/>
      <w:marLeft w:val="0"/>
      <w:marRight w:val="0"/>
      <w:marTop w:val="0"/>
      <w:marBottom w:val="0"/>
      <w:divBdr>
        <w:top w:val="none" w:sz="0" w:space="0" w:color="auto"/>
        <w:left w:val="none" w:sz="0" w:space="0" w:color="auto"/>
        <w:bottom w:val="none" w:sz="0" w:space="0" w:color="auto"/>
        <w:right w:val="none" w:sz="0" w:space="0" w:color="auto"/>
      </w:divBdr>
    </w:div>
    <w:div w:id="1291979511">
      <w:bodyDiv w:val="1"/>
      <w:marLeft w:val="0"/>
      <w:marRight w:val="0"/>
      <w:marTop w:val="0"/>
      <w:marBottom w:val="0"/>
      <w:divBdr>
        <w:top w:val="none" w:sz="0" w:space="0" w:color="auto"/>
        <w:left w:val="none" w:sz="0" w:space="0" w:color="auto"/>
        <w:bottom w:val="none" w:sz="0" w:space="0" w:color="auto"/>
        <w:right w:val="none" w:sz="0" w:space="0" w:color="auto"/>
      </w:divBdr>
    </w:div>
    <w:div w:id="1467433300">
      <w:bodyDiv w:val="1"/>
      <w:marLeft w:val="0"/>
      <w:marRight w:val="0"/>
      <w:marTop w:val="0"/>
      <w:marBottom w:val="0"/>
      <w:divBdr>
        <w:top w:val="none" w:sz="0" w:space="0" w:color="auto"/>
        <w:left w:val="none" w:sz="0" w:space="0" w:color="auto"/>
        <w:bottom w:val="none" w:sz="0" w:space="0" w:color="auto"/>
        <w:right w:val="none" w:sz="0" w:space="0" w:color="auto"/>
      </w:divBdr>
      <w:divsChild>
        <w:div w:id="3632279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476294901">
      <w:bodyDiv w:val="1"/>
      <w:marLeft w:val="0"/>
      <w:marRight w:val="0"/>
      <w:marTop w:val="0"/>
      <w:marBottom w:val="0"/>
      <w:divBdr>
        <w:top w:val="none" w:sz="0" w:space="0" w:color="auto"/>
        <w:left w:val="none" w:sz="0" w:space="0" w:color="auto"/>
        <w:bottom w:val="none" w:sz="0" w:space="0" w:color="auto"/>
        <w:right w:val="none" w:sz="0" w:space="0" w:color="auto"/>
      </w:divBdr>
    </w:div>
    <w:div w:id="1617517788">
      <w:bodyDiv w:val="1"/>
      <w:marLeft w:val="0"/>
      <w:marRight w:val="0"/>
      <w:marTop w:val="0"/>
      <w:marBottom w:val="0"/>
      <w:divBdr>
        <w:top w:val="none" w:sz="0" w:space="0" w:color="auto"/>
        <w:left w:val="none" w:sz="0" w:space="0" w:color="auto"/>
        <w:bottom w:val="none" w:sz="0" w:space="0" w:color="auto"/>
        <w:right w:val="none" w:sz="0" w:space="0" w:color="auto"/>
      </w:divBdr>
    </w:div>
    <w:div w:id="1703937863">
      <w:bodyDiv w:val="1"/>
      <w:marLeft w:val="0"/>
      <w:marRight w:val="0"/>
      <w:marTop w:val="0"/>
      <w:marBottom w:val="0"/>
      <w:divBdr>
        <w:top w:val="none" w:sz="0" w:space="0" w:color="auto"/>
        <w:left w:val="none" w:sz="0" w:space="0" w:color="auto"/>
        <w:bottom w:val="none" w:sz="0" w:space="0" w:color="auto"/>
        <w:right w:val="none" w:sz="0" w:space="0" w:color="auto"/>
      </w:divBdr>
    </w:div>
    <w:div w:id="1781989589">
      <w:bodyDiv w:val="1"/>
      <w:marLeft w:val="0"/>
      <w:marRight w:val="0"/>
      <w:marTop w:val="0"/>
      <w:marBottom w:val="0"/>
      <w:divBdr>
        <w:top w:val="none" w:sz="0" w:space="0" w:color="auto"/>
        <w:left w:val="none" w:sz="0" w:space="0" w:color="auto"/>
        <w:bottom w:val="none" w:sz="0" w:space="0" w:color="auto"/>
        <w:right w:val="none" w:sz="0" w:space="0" w:color="auto"/>
      </w:divBdr>
    </w:div>
    <w:div w:id="1799373954">
      <w:bodyDiv w:val="1"/>
      <w:marLeft w:val="0"/>
      <w:marRight w:val="0"/>
      <w:marTop w:val="0"/>
      <w:marBottom w:val="0"/>
      <w:divBdr>
        <w:top w:val="none" w:sz="0" w:space="0" w:color="auto"/>
        <w:left w:val="none" w:sz="0" w:space="0" w:color="auto"/>
        <w:bottom w:val="none" w:sz="0" w:space="0" w:color="auto"/>
        <w:right w:val="none" w:sz="0" w:space="0" w:color="auto"/>
      </w:divBdr>
      <w:divsChild>
        <w:div w:id="593368188">
          <w:marLeft w:val="0"/>
          <w:marRight w:val="0"/>
          <w:marTop w:val="0"/>
          <w:marBottom w:val="0"/>
          <w:divBdr>
            <w:top w:val="none" w:sz="0" w:space="0" w:color="auto"/>
            <w:left w:val="none" w:sz="0" w:space="0" w:color="auto"/>
            <w:bottom w:val="none" w:sz="0" w:space="0" w:color="auto"/>
            <w:right w:val="none" w:sz="0" w:space="0" w:color="auto"/>
          </w:divBdr>
          <w:divsChild>
            <w:div w:id="821966756">
              <w:marLeft w:val="0"/>
              <w:marRight w:val="0"/>
              <w:marTop w:val="0"/>
              <w:marBottom w:val="0"/>
              <w:divBdr>
                <w:top w:val="none" w:sz="0" w:space="0" w:color="auto"/>
                <w:left w:val="none" w:sz="0" w:space="0" w:color="auto"/>
                <w:bottom w:val="none" w:sz="0" w:space="0" w:color="auto"/>
                <w:right w:val="none" w:sz="0" w:space="0" w:color="auto"/>
              </w:divBdr>
              <w:divsChild>
                <w:div w:id="3095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2939">
          <w:marLeft w:val="0"/>
          <w:marRight w:val="0"/>
          <w:marTop w:val="0"/>
          <w:marBottom w:val="0"/>
          <w:divBdr>
            <w:top w:val="none" w:sz="0" w:space="0" w:color="auto"/>
            <w:left w:val="none" w:sz="0" w:space="0" w:color="auto"/>
            <w:bottom w:val="none" w:sz="0" w:space="0" w:color="auto"/>
            <w:right w:val="none" w:sz="0" w:space="0" w:color="auto"/>
          </w:divBdr>
          <w:divsChild>
            <w:div w:id="544026411">
              <w:marLeft w:val="0"/>
              <w:marRight w:val="0"/>
              <w:marTop w:val="0"/>
              <w:marBottom w:val="0"/>
              <w:divBdr>
                <w:top w:val="none" w:sz="0" w:space="0" w:color="auto"/>
                <w:left w:val="none" w:sz="0" w:space="0" w:color="auto"/>
                <w:bottom w:val="none" w:sz="0" w:space="0" w:color="auto"/>
                <w:right w:val="none" w:sz="0" w:space="0" w:color="auto"/>
              </w:divBdr>
              <w:divsChild>
                <w:div w:id="1172720476">
                  <w:marLeft w:val="0"/>
                  <w:marRight w:val="0"/>
                  <w:marTop w:val="0"/>
                  <w:marBottom w:val="0"/>
                  <w:divBdr>
                    <w:top w:val="none" w:sz="0" w:space="0" w:color="auto"/>
                    <w:left w:val="none" w:sz="0" w:space="0" w:color="auto"/>
                    <w:bottom w:val="none" w:sz="0" w:space="0" w:color="auto"/>
                    <w:right w:val="none" w:sz="0" w:space="0" w:color="auto"/>
                  </w:divBdr>
                  <w:divsChild>
                    <w:div w:id="19579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043195">
      <w:bodyDiv w:val="1"/>
      <w:marLeft w:val="0"/>
      <w:marRight w:val="0"/>
      <w:marTop w:val="0"/>
      <w:marBottom w:val="0"/>
      <w:divBdr>
        <w:top w:val="none" w:sz="0" w:space="0" w:color="auto"/>
        <w:left w:val="none" w:sz="0" w:space="0" w:color="auto"/>
        <w:bottom w:val="none" w:sz="0" w:space="0" w:color="auto"/>
        <w:right w:val="none" w:sz="0" w:space="0" w:color="auto"/>
      </w:divBdr>
    </w:div>
    <w:div w:id="1848323554">
      <w:bodyDiv w:val="1"/>
      <w:marLeft w:val="0"/>
      <w:marRight w:val="0"/>
      <w:marTop w:val="0"/>
      <w:marBottom w:val="0"/>
      <w:divBdr>
        <w:top w:val="none" w:sz="0" w:space="0" w:color="auto"/>
        <w:left w:val="none" w:sz="0" w:space="0" w:color="auto"/>
        <w:bottom w:val="none" w:sz="0" w:space="0" w:color="auto"/>
        <w:right w:val="none" w:sz="0" w:space="0" w:color="auto"/>
      </w:divBdr>
    </w:div>
    <w:div w:id="1900944395">
      <w:bodyDiv w:val="1"/>
      <w:marLeft w:val="0"/>
      <w:marRight w:val="0"/>
      <w:marTop w:val="0"/>
      <w:marBottom w:val="0"/>
      <w:divBdr>
        <w:top w:val="none" w:sz="0" w:space="0" w:color="auto"/>
        <w:left w:val="none" w:sz="0" w:space="0" w:color="auto"/>
        <w:bottom w:val="none" w:sz="0" w:space="0" w:color="auto"/>
        <w:right w:val="none" w:sz="0" w:space="0" w:color="auto"/>
      </w:divBdr>
    </w:div>
    <w:div w:id="2052144863">
      <w:bodyDiv w:val="1"/>
      <w:marLeft w:val="0"/>
      <w:marRight w:val="0"/>
      <w:marTop w:val="0"/>
      <w:marBottom w:val="0"/>
      <w:divBdr>
        <w:top w:val="none" w:sz="0" w:space="0" w:color="auto"/>
        <w:left w:val="none" w:sz="0" w:space="0" w:color="auto"/>
        <w:bottom w:val="none" w:sz="0" w:space="0" w:color="auto"/>
        <w:right w:val="none" w:sz="0" w:space="0" w:color="auto"/>
      </w:divBdr>
    </w:div>
    <w:div w:id="214384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5.bin"/><Relationship Id="rId42" Type="http://schemas.openxmlformats.org/officeDocument/2006/relationships/image" Target="media/image16.wmf"/><Relationship Id="rId63" Type="http://schemas.openxmlformats.org/officeDocument/2006/relationships/image" Target="media/image26.wmf"/><Relationship Id="rId84" Type="http://schemas.openxmlformats.org/officeDocument/2006/relationships/oleObject" Target="embeddings/oleObject38.bin"/><Relationship Id="rId138" Type="http://schemas.openxmlformats.org/officeDocument/2006/relationships/oleObject" Target="embeddings/oleObject65.bin"/><Relationship Id="rId107" Type="http://schemas.openxmlformats.org/officeDocument/2006/relationships/image" Target="media/image47.wmf"/><Relationship Id="rId11" Type="http://schemas.openxmlformats.org/officeDocument/2006/relationships/footer" Target="footer1.xml"/><Relationship Id="rId32" Type="http://schemas.openxmlformats.org/officeDocument/2006/relationships/image" Target="media/image11.wmf"/><Relationship Id="rId53" Type="http://schemas.openxmlformats.org/officeDocument/2006/relationships/oleObject" Target="embeddings/oleObject21.bin"/><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68.png"/><Relationship Id="rId5" Type="http://schemas.openxmlformats.org/officeDocument/2006/relationships/webSettings" Target="webSettings.xml"/><Relationship Id="rId95" Type="http://schemas.openxmlformats.org/officeDocument/2006/relationships/image" Target="media/image41.wmf"/><Relationship Id="rId22" Type="http://schemas.openxmlformats.org/officeDocument/2006/relationships/image" Target="media/image6.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19.wmf"/><Relationship Id="rId64" Type="http://schemas.openxmlformats.org/officeDocument/2006/relationships/oleObject" Target="embeddings/oleObject27.bin"/><Relationship Id="rId69" Type="http://schemas.openxmlformats.org/officeDocument/2006/relationships/oleObject" Target="embeddings/oleObject30.bin"/><Relationship Id="rId113" Type="http://schemas.openxmlformats.org/officeDocument/2006/relationships/image" Target="media/image50.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3.wmf"/><Relationship Id="rId80" Type="http://schemas.openxmlformats.org/officeDocument/2006/relationships/oleObject" Target="embeddings/oleObject36.bin"/><Relationship Id="rId85" Type="http://schemas.openxmlformats.org/officeDocument/2006/relationships/image" Target="media/image36.wmf"/><Relationship Id="rId150" Type="http://schemas.openxmlformats.org/officeDocument/2006/relationships/image" Target="media/image69.wmf"/><Relationship Id="rId12" Type="http://schemas.openxmlformats.org/officeDocument/2006/relationships/image" Target="media/image1.png"/><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4.wmf"/><Relationship Id="rId59" Type="http://schemas.openxmlformats.org/officeDocument/2006/relationships/oleObject" Target="embeddings/oleObject24.bin"/><Relationship Id="rId103" Type="http://schemas.openxmlformats.org/officeDocument/2006/relationships/image" Target="media/image45.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58.wmf"/><Relationship Id="rId54" Type="http://schemas.openxmlformats.org/officeDocument/2006/relationships/image" Target="media/image22.wmf"/><Relationship Id="rId70" Type="http://schemas.openxmlformats.org/officeDocument/2006/relationships/image" Target="media/image29.wmf"/><Relationship Id="rId75" Type="http://schemas.openxmlformats.org/officeDocument/2006/relationships/image" Target="media/image31.wmf"/><Relationship Id="rId91" Type="http://schemas.openxmlformats.org/officeDocument/2006/relationships/image" Target="media/image39.wmf"/><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66.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6.bin"/><Relationship Id="rId28" Type="http://schemas.openxmlformats.org/officeDocument/2006/relationships/image" Target="media/image9.wmf"/><Relationship Id="rId49" Type="http://schemas.openxmlformats.org/officeDocument/2006/relationships/oleObject" Target="embeddings/oleObject19.bin"/><Relationship Id="rId114" Type="http://schemas.openxmlformats.org/officeDocument/2006/relationships/oleObject" Target="embeddings/oleObject53.bin"/><Relationship Id="rId119" Type="http://schemas.openxmlformats.org/officeDocument/2006/relationships/image" Target="media/image53.wmf"/><Relationship Id="rId44" Type="http://schemas.openxmlformats.org/officeDocument/2006/relationships/image" Target="media/image17.wmf"/><Relationship Id="rId60" Type="http://schemas.openxmlformats.org/officeDocument/2006/relationships/oleObject" Target="embeddings/oleObject25.bin"/><Relationship Id="rId65" Type="http://schemas.openxmlformats.org/officeDocument/2006/relationships/image" Target="media/image27.wmf"/><Relationship Id="rId81" Type="http://schemas.openxmlformats.org/officeDocument/2006/relationships/image" Target="media/image34.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1.wmf"/><Relationship Id="rId151" Type="http://schemas.openxmlformats.org/officeDocument/2006/relationships/oleObject" Target="embeddings/oleObject71.bin"/><Relationship Id="rId13" Type="http://schemas.openxmlformats.org/officeDocument/2006/relationships/image" Target="media/image2.wmf"/><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image" Target="media/image48.wmf"/><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2.bin"/><Relationship Id="rId76" Type="http://schemas.openxmlformats.org/officeDocument/2006/relationships/oleObject" Target="embeddings/oleObject34.bin"/><Relationship Id="rId97" Type="http://schemas.openxmlformats.org/officeDocument/2006/relationships/image" Target="media/image42.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6.wmf"/><Relationship Id="rId141" Type="http://schemas.openxmlformats.org/officeDocument/2006/relationships/image" Target="media/image64.wmf"/><Relationship Id="rId146" Type="http://schemas.openxmlformats.org/officeDocument/2006/relationships/oleObject" Target="embeddings/oleObject69.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oleObject" Target="embeddings/oleObject28.bin"/><Relationship Id="rId87" Type="http://schemas.openxmlformats.org/officeDocument/2006/relationships/image" Target="media/image37.wmf"/><Relationship Id="rId110" Type="http://schemas.openxmlformats.org/officeDocument/2006/relationships/oleObject" Target="embeddings/oleObject51.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64.bin"/><Relationship Id="rId61" Type="http://schemas.openxmlformats.org/officeDocument/2006/relationships/image" Target="media/image25.wmf"/><Relationship Id="rId82" Type="http://schemas.openxmlformats.org/officeDocument/2006/relationships/oleObject" Target="embeddings/oleObject37.bin"/><Relationship Id="rId152" Type="http://schemas.openxmlformats.org/officeDocument/2006/relationships/footer" Target="footer2.xml"/><Relationship Id="rId19" Type="http://schemas.openxmlformats.org/officeDocument/2006/relationships/oleObject" Target="embeddings/oleObject4.bin"/><Relationship Id="rId14" Type="http://schemas.openxmlformats.org/officeDocument/2006/relationships/oleObject" Target="embeddings/oleObject1.bin"/><Relationship Id="rId30" Type="http://schemas.openxmlformats.org/officeDocument/2006/relationships/image" Target="media/image10.wmf"/><Relationship Id="rId35" Type="http://schemas.openxmlformats.org/officeDocument/2006/relationships/oleObject" Target="embeddings/oleObject12.bin"/><Relationship Id="rId56" Type="http://schemas.openxmlformats.org/officeDocument/2006/relationships/image" Target="media/image23.wmf"/><Relationship Id="rId77" Type="http://schemas.openxmlformats.org/officeDocument/2006/relationships/image" Target="media/image32.wmf"/><Relationship Id="rId100" Type="http://schemas.openxmlformats.org/officeDocument/2006/relationships/oleObject" Target="embeddings/oleObject46.bin"/><Relationship Id="rId105" Type="http://schemas.openxmlformats.org/officeDocument/2006/relationships/image" Target="media/image46.wmf"/><Relationship Id="rId126" Type="http://schemas.openxmlformats.org/officeDocument/2006/relationships/oleObject" Target="embeddings/oleObject59.bin"/><Relationship Id="rId147" Type="http://schemas.openxmlformats.org/officeDocument/2006/relationships/oleObject" Target="embeddings/oleObject70.bin"/><Relationship Id="rId8" Type="http://schemas.openxmlformats.org/officeDocument/2006/relationships/hyperlink" Target="mailto:hjhwang@utexas.edu" TargetMode="External"/><Relationship Id="rId51" Type="http://schemas.openxmlformats.org/officeDocument/2006/relationships/oleObject" Target="embeddings/oleObject20.bin"/><Relationship Id="rId72" Type="http://schemas.openxmlformats.org/officeDocument/2006/relationships/oleObject" Target="embeddings/oleObject32.bin"/><Relationship Id="rId93" Type="http://schemas.openxmlformats.org/officeDocument/2006/relationships/image" Target="media/image40.wmf"/><Relationship Id="rId98" Type="http://schemas.openxmlformats.org/officeDocument/2006/relationships/oleObject" Target="embeddings/oleObject45.bin"/><Relationship Id="rId121" Type="http://schemas.openxmlformats.org/officeDocument/2006/relationships/image" Target="media/image54.wmf"/><Relationship Id="rId142" Type="http://schemas.openxmlformats.org/officeDocument/2006/relationships/oleObject" Target="embeddings/oleObject67.bin"/><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image" Target="media/image18.wmf"/><Relationship Id="rId67" Type="http://schemas.openxmlformats.org/officeDocument/2006/relationships/image" Target="media/image28.wmf"/><Relationship Id="rId116" Type="http://schemas.openxmlformats.org/officeDocument/2006/relationships/oleObject" Target="embeddings/oleObject54.bin"/><Relationship Id="rId137" Type="http://schemas.openxmlformats.org/officeDocument/2006/relationships/image" Target="media/image62.wmf"/><Relationship Id="rId20" Type="http://schemas.openxmlformats.org/officeDocument/2006/relationships/image" Target="media/image5.wmf"/><Relationship Id="rId41" Type="http://schemas.openxmlformats.org/officeDocument/2006/relationships/oleObject" Target="embeddings/oleObject15.bin"/><Relationship Id="rId62" Type="http://schemas.openxmlformats.org/officeDocument/2006/relationships/oleObject" Target="embeddings/oleObject26.bin"/><Relationship Id="rId83" Type="http://schemas.openxmlformats.org/officeDocument/2006/relationships/image" Target="media/image35.wmf"/><Relationship Id="rId88" Type="http://schemas.openxmlformats.org/officeDocument/2006/relationships/oleObject" Target="embeddings/oleObject40.bin"/><Relationship Id="rId111" Type="http://schemas.openxmlformats.org/officeDocument/2006/relationships/image" Target="media/image49.wmf"/><Relationship Id="rId132" Type="http://schemas.openxmlformats.org/officeDocument/2006/relationships/oleObject" Target="embeddings/oleObject62.bin"/><Relationship Id="rId153" Type="http://schemas.openxmlformats.org/officeDocument/2006/relationships/fontTable" Target="fontTable.xml"/><Relationship Id="rId15" Type="http://schemas.openxmlformats.org/officeDocument/2006/relationships/oleObject" Target="embeddings/oleObject2.bin"/><Relationship Id="rId36" Type="http://schemas.openxmlformats.org/officeDocument/2006/relationships/image" Target="media/image13.wmf"/><Relationship Id="rId57" Type="http://schemas.openxmlformats.org/officeDocument/2006/relationships/oleObject" Target="embeddings/oleObject23.bin"/><Relationship Id="rId106" Type="http://schemas.openxmlformats.org/officeDocument/2006/relationships/oleObject" Target="embeddings/oleObject49.bin"/><Relationship Id="rId127" Type="http://schemas.openxmlformats.org/officeDocument/2006/relationships/image" Target="media/image57.wmf"/><Relationship Id="rId10" Type="http://schemas.openxmlformats.org/officeDocument/2006/relationships/hyperlink" Target="mailto:bhat@mail.utexas.edu" TargetMode="External"/><Relationship Id="rId31" Type="http://schemas.openxmlformats.org/officeDocument/2006/relationships/oleObject" Target="embeddings/oleObject10.bin"/><Relationship Id="rId52" Type="http://schemas.openxmlformats.org/officeDocument/2006/relationships/image" Target="media/image21.wmf"/><Relationship Id="rId73" Type="http://schemas.openxmlformats.org/officeDocument/2006/relationships/image" Target="media/image30.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57.bin"/><Relationship Id="rId143" Type="http://schemas.openxmlformats.org/officeDocument/2006/relationships/image" Target="media/image65.wmf"/><Relationship Id="rId148" Type="http://schemas.openxmlformats.org/officeDocument/2006/relationships/image" Target="media/image67.png"/><Relationship Id="rId4" Type="http://schemas.openxmlformats.org/officeDocument/2006/relationships/settings" Target="settings.xml"/><Relationship Id="rId9" Type="http://schemas.openxmlformats.org/officeDocument/2006/relationships/hyperlink" Target="mailto:angela.haddad@utexas.edu" TargetMode="External"/><Relationship Id="rId26" Type="http://schemas.openxmlformats.org/officeDocument/2006/relationships/image" Target="media/image8.wmf"/><Relationship Id="rId47" Type="http://schemas.openxmlformats.org/officeDocument/2006/relationships/oleObject" Target="embeddings/oleObject18.bin"/><Relationship Id="rId68" Type="http://schemas.openxmlformats.org/officeDocument/2006/relationships/oleObject" Target="embeddings/oleObject29.bin"/><Relationship Id="rId89" Type="http://schemas.openxmlformats.org/officeDocument/2006/relationships/image" Target="media/image38.wmf"/><Relationship Id="rId112" Type="http://schemas.openxmlformats.org/officeDocument/2006/relationships/oleObject" Target="embeddings/oleObject52.bin"/><Relationship Id="rId133" Type="http://schemas.openxmlformats.org/officeDocument/2006/relationships/image" Target="media/image60.wmf"/><Relationship Id="rId154" Type="http://schemas.openxmlformats.org/officeDocument/2006/relationships/theme" Target="theme/theme1.xml"/><Relationship Id="rId16" Type="http://schemas.openxmlformats.org/officeDocument/2006/relationships/image" Target="media/image3.wmf"/><Relationship Id="rId37" Type="http://schemas.openxmlformats.org/officeDocument/2006/relationships/oleObject" Target="embeddings/oleObject13.bin"/><Relationship Id="rId58" Type="http://schemas.openxmlformats.org/officeDocument/2006/relationships/image" Target="media/image24.wmf"/><Relationship Id="rId79" Type="http://schemas.openxmlformats.org/officeDocument/2006/relationships/image" Target="media/image33.wmf"/><Relationship Id="rId102" Type="http://schemas.openxmlformats.org/officeDocument/2006/relationships/oleObject" Target="embeddings/oleObject47.bin"/><Relationship Id="rId123" Type="http://schemas.openxmlformats.org/officeDocument/2006/relationships/image" Target="media/image55.wmf"/><Relationship Id="rId144" Type="http://schemas.openxmlformats.org/officeDocument/2006/relationships/oleObject" Target="embeddings/oleObject68.bin"/><Relationship Id="rId90" Type="http://schemas.openxmlformats.org/officeDocument/2006/relationships/oleObject" Target="embeddings/oleObject41.bin"/></Relationships>
</file>

<file path=word/_rels/footnotes.xml.rels><?xml version="1.0" encoding="UTF-8" standalone="yes"?>
<Relationships xmlns="http://schemas.openxmlformats.org/package/2006/relationships"><Relationship Id="rId1" Type="http://schemas.openxmlformats.org/officeDocument/2006/relationships/hyperlink" Target="https://www.aarp.org/pri/topics/health/prevention-wellness/walking-attitudes-habits-adults-50-o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DE031BA-51A8-46F2-BA46-D0218CAFCD26}">
  <we:reference id="wa104381909" version="3.14.0.0" store="en-US" storeType="OMEX"/>
  <we:alternateReferences>
    <we:reference id="wa104381909" version="3.14.0.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9A956-A26E-47BD-8FA9-A565CD17B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37</Pages>
  <Words>55852</Words>
  <Characters>318362</Characters>
  <Application>Microsoft Office Word</Application>
  <DocSecurity>0</DocSecurity>
  <Lines>2653</Lines>
  <Paragraphs>746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Hwang Hyunjun</dc:creator>
  <cp:lastModifiedBy>Macias, Lisa J</cp:lastModifiedBy>
  <cp:revision>2</cp:revision>
  <cp:lastPrinted>2024-07-02T20:17:00Z</cp:lastPrinted>
  <dcterms:created xsi:type="dcterms:W3CDTF">2024-07-18T18:45:00Z</dcterms:created>
  <dcterms:modified xsi:type="dcterms:W3CDTF">2024-07-18T18:45:00Z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34ad18adb9031e5313cd0eff58ebfd54f6b8dca096b06fef74e3982ff266e31b</vt:lpwstr>
  </property>
  <property fmtid="{D5CDD505-2E9C-101B-9397-08002B2CF9AE}" pid="3" name="ZOTERO_PREF_1">
    <vt:lpwstr>&lt;data data-version="3" zotero-version="6.0.36"&gt;&lt;session id="n8p7i6pD"/&gt;&lt;style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y fmtid="{D5CDD505-2E9C-101B-9397-08002B2CF9AE}" pid="5" name="MTWinEqns">
    <vt:bool>true</vt:bool>
  </property>
</Properties>
</file>