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CF9" w:rsidRDefault="000018FB">
      <w:pPr>
        <w:jc w:val="center"/>
      </w:pPr>
      <w:r>
        <w:rPr>
          <w:b/>
          <w:bCs/>
          <w:sz w:val="28"/>
        </w:rPr>
        <w:t>Computing Flood Frequency Analysis using HEC-SSP</w:t>
      </w:r>
    </w:p>
    <w:p w:rsidR="00062CF9" w:rsidRDefault="00062CF9">
      <w:pPr>
        <w:jc w:val="center"/>
      </w:pPr>
    </w:p>
    <w:p w:rsidR="00062CF9" w:rsidRDefault="00377CA4">
      <w:pPr>
        <w:jc w:val="center"/>
      </w:pPr>
      <w:r>
        <w:t>Prepared by David R. Maidment</w:t>
      </w:r>
      <w:r w:rsidR="00952C56">
        <w:t xml:space="preserve"> </w:t>
      </w:r>
    </w:p>
    <w:p w:rsidR="00062CF9" w:rsidRDefault="00377CA4">
      <w:pPr>
        <w:pStyle w:val="NormalWeb"/>
        <w:spacing w:before="0" w:beforeAutospacing="0" w:after="0" w:afterAutospacing="0"/>
        <w:jc w:val="center"/>
      </w:pPr>
      <w:proofErr w:type="gramStart"/>
      <w:r>
        <w:t>CE 374K Hydrology</w:t>
      </w:r>
      <w:proofErr w:type="gramEnd"/>
    </w:p>
    <w:p w:rsidR="00062CF9" w:rsidRDefault="00377CA4">
      <w:pPr>
        <w:jc w:val="center"/>
      </w:pPr>
      <w:r>
        <w:t>Spring 201</w:t>
      </w:r>
      <w:r w:rsidR="002C7F5A">
        <w:t>2</w:t>
      </w:r>
    </w:p>
    <w:p w:rsidR="00062CF9" w:rsidRDefault="00377CA4">
      <w:pPr>
        <w:pStyle w:val="NormalWeb"/>
        <w:rPr>
          <w:b/>
          <w:sz w:val="28"/>
          <w:szCs w:val="28"/>
        </w:rPr>
      </w:pPr>
      <w:r>
        <w:rPr>
          <w:b/>
          <w:sz w:val="28"/>
          <w:szCs w:val="28"/>
        </w:rPr>
        <w:t>Table of Contents</w:t>
      </w:r>
    </w:p>
    <w:p w:rsidR="007B6855" w:rsidRDefault="002C7F5A" w:rsidP="007B6855">
      <w:pPr>
        <w:pStyle w:val="NormalWeb"/>
        <w:rPr>
          <w:b/>
        </w:rPr>
      </w:pPr>
      <w:hyperlink w:anchor="Reccurence" w:history="1">
        <w:r w:rsidR="007B6855" w:rsidRPr="007B6855">
          <w:rPr>
            <w:rStyle w:val="Hyperlink"/>
            <w:b/>
          </w:rPr>
          <w:t>Analysis of Recurrence Intervals</w:t>
        </w:r>
      </w:hyperlink>
    </w:p>
    <w:p w:rsidR="007B6855" w:rsidRPr="00E91523" w:rsidRDefault="002C7F5A" w:rsidP="007B6855">
      <w:pPr>
        <w:pStyle w:val="NormalWeb"/>
        <w:rPr>
          <w:b/>
        </w:rPr>
      </w:pPr>
      <w:hyperlink w:anchor="SSP" w:history="1">
        <w:r w:rsidR="007B6855" w:rsidRPr="007B6855">
          <w:rPr>
            <w:rStyle w:val="Hyperlink"/>
            <w:b/>
          </w:rPr>
          <w:t>Using HEC-SSP</w:t>
        </w:r>
      </w:hyperlink>
    </w:p>
    <w:p w:rsidR="007B6855" w:rsidRDefault="002C7F5A" w:rsidP="007B6855">
      <w:pPr>
        <w:pStyle w:val="NormalWeb"/>
        <w:rPr>
          <w:b/>
        </w:rPr>
      </w:pPr>
      <w:hyperlink w:anchor="Frequency" w:history="1">
        <w:r w:rsidR="007B6855" w:rsidRPr="007B6855">
          <w:rPr>
            <w:rStyle w:val="Hyperlink"/>
            <w:b/>
          </w:rPr>
          <w:t>Frequency Analysis of Flood Discharges</w:t>
        </w:r>
      </w:hyperlink>
    </w:p>
    <w:p w:rsidR="007B6855" w:rsidRPr="007B6855" w:rsidRDefault="002C7F5A">
      <w:pPr>
        <w:pStyle w:val="NormalWeb"/>
        <w:rPr>
          <w:b/>
          <w:iCs/>
        </w:rPr>
      </w:pPr>
      <w:hyperlink w:anchor="Summary" w:history="1">
        <w:r w:rsidR="007B6855" w:rsidRPr="007B6855">
          <w:rPr>
            <w:rStyle w:val="Hyperlink"/>
            <w:b/>
            <w:iCs/>
          </w:rPr>
          <w:t xml:space="preserve">Summary of Items to be </w:t>
        </w:r>
        <w:proofErr w:type="gramStart"/>
        <w:r w:rsidR="007B6855" w:rsidRPr="007B6855">
          <w:rPr>
            <w:rStyle w:val="Hyperlink"/>
            <w:b/>
            <w:iCs/>
          </w:rPr>
          <w:t>Turned</w:t>
        </w:r>
        <w:proofErr w:type="gramEnd"/>
        <w:r w:rsidR="007B6855" w:rsidRPr="007B6855">
          <w:rPr>
            <w:rStyle w:val="Hyperlink"/>
            <w:b/>
            <w:iCs/>
          </w:rPr>
          <w:t xml:space="preserve"> in</w:t>
        </w:r>
      </w:hyperlink>
    </w:p>
    <w:p w:rsidR="00062CF9" w:rsidRDefault="00A413AA">
      <w:pPr>
        <w:pStyle w:val="NormalWeb"/>
      </w:pPr>
      <w:r>
        <w:t xml:space="preserve">The goal of this exercise is to enable you to do a frequency analysis of annual maximum discharges using the Colorado River at Austin (USGS Gage 08158000) as an example dataset.   The annual maximum discharges for water years 1900 to 2010 are given at:  </w:t>
      </w:r>
      <w:hyperlink r:id="rId6" w:history="1">
        <w:r w:rsidR="002C7F5A" w:rsidRPr="00DF7B62">
          <w:rPr>
            <w:rStyle w:val="Hyperlink"/>
          </w:rPr>
          <w:t>http://www.caee.utexas.edu/prof/maidment/ce374KSpr12/HECSSP/Colorado.xlsx</w:t>
        </w:r>
      </w:hyperlink>
      <w:r w:rsidR="002C7F5A">
        <w:t xml:space="preserve"> </w:t>
      </w:r>
      <w:bookmarkStart w:id="0" w:name="_GoBack"/>
      <w:bookmarkEnd w:id="0"/>
      <w:r>
        <w:t xml:space="preserve">   A water year is a period from 1 </w:t>
      </w:r>
      <w:proofErr w:type="gramStart"/>
      <w:r>
        <w:t xml:space="preserve">October </w:t>
      </w:r>
      <w:r w:rsidR="00723DEC">
        <w:t xml:space="preserve"> of</w:t>
      </w:r>
      <w:proofErr w:type="gramEnd"/>
      <w:r w:rsidR="00723DEC">
        <w:t xml:space="preserve"> the previous</w:t>
      </w:r>
      <w:r>
        <w:t xml:space="preserve"> calendar year through 30 September of the </w:t>
      </w:r>
      <w:r w:rsidR="00723DEC">
        <w:t xml:space="preserve">current </w:t>
      </w:r>
      <w:r>
        <w:t>calendar year.   These data are plotted below.   A series of dams were built on the Colorado River above Austin during the 1930’s and it is obvious from the graph that they had a significant impact on the flood flows from about 1940 onwards, so we’ll analyze the data in two periods: 1900 to 1940 and 1941 to 2010.</w:t>
      </w:r>
    </w:p>
    <w:p w:rsidR="007D6040" w:rsidRPr="007D6040" w:rsidRDefault="00723DEC">
      <w:pPr>
        <w:pStyle w:val="NormalWeb"/>
      </w:pPr>
      <w:r>
        <w:rPr>
          <w:noProof/>
        </w:rPr>
        <w:drawing>
          <wp:inline distT="0" distB="0" distL="0" distR="0" wp14:anchorId="2F09BDAE" wp14:editId="23BE8EDC">
            <wp:extent cx="5943600" cy="2611755"/>
            <wp:effectExtent l="0" t="0" r="1905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D6040" w:rsidRPr="007D6040" w:rsidRDefault="007D6040">
      <w:pPr>
        <w:pStyle w:val="NormalWeb"/>
        <w:rPr>
          <w:b/>
        </w:rPr>
      </w:pPr>
      <w:r w:rsidRPr="007D6040">
        <w:rPr>
          <w:b/>
        </w:rPr>
        <w:t>Analysis of Recurrence Intervals</w:t>
      </w:r>
    </w:p>
    <w:p w:rsidR="007D6040" w:rsidRPr="00B122CB" w:rsidRDefault="007D6040">
      <w:pPr>
        <w:pStyle w:val="NormalWeb"/>
      </w:pPr>
      <w:r>
        <w:t>The data for 1900 to 1913 are given below.  I have marked the years in which a</w:t>
      </w:r>
      <w:r w:rsidR="00B122CB">
        <w:t xml:space="preserve">n annual </w:t>
      </w:r>
      <w:proofErr w:type="spellStart"/>
      <w:r w:rsidR="00B122CB">
        <w:t>maxiumum</w:t>
      </w:r>
      <w:proofErr w:type="spellEnd"/>
      <w:r>
        <w:t xml:space="preserve"> discharge equal to </w:t>
      </w:r>
      <w:r w:rsidR="00B122CB">
        <w:t>or exceeding Q</w:t>
      </w:r>
      <w:r w:rsidR="00B122CB" w:rsidRPr="00B122CB">
        <w:rPr>
          <w:vertAlign w:val="subscript"/>
        </w:rPr>
        <w:t>T</w:t>
      </w:r>
      <w:r w:rsidR="00B122CB">
        <w:t xml:space="preserve"> = 100,000 </w:t>
      </w:r>
      <w:proofErr w:type="spellStart"/>
      <w:r w:rsidR="00B122CB">
        <w:t>cfs</w:t>
      </w:r>
      <w:proofErr w:type="spellEnd"/>
      <w:r w:rsidR="00B122CB">
        <w:t xml:space="preserve"> occurs, </w:t>
      </w:r>
      <w:proofErr w:type="spellStart"/>
      <w:r w:rsidR="00B122CB">
        <w:t>ie</w:t>
      </w:r>
      <w:proofErr w:type="spellEnd"/>
      <w:r w:rsidR="00B122CB">
        <w:t xml:space="preserve"> Q ≥ 100,000 </w:t>
      </w:r>
      <w:proofErr w:type="spellStart"/>
      <w:r w:rsidR="00B122CB">
        <w:t>cfs</w:t>
      </w:r>
      <w:proofErr w:type="spellEnd"/>
      <w:r w:rsidR="00B122CB">
        <w:t>.  The recurrence interval, τ, is the number of years in between occurrences of Q ≥ Q</w:t>
      </w:r>
      <w:r w:rsidR="00B122CB" w:rsidRPr="00B122CB">
        <w:rPr>
          <w:vertAlign w:val="subscript"/>
        </w:rPr>
        <w:t>T</w:t>
      </w:r>
      <w:r w:rsidR="00B122CB">
        <w:t xml:space="preserve">, which in this case is 8 years for the first recurrence and then 6 years for the second recurrence.   The Return Period, T = </w:t>
      </w:r>
      <w:proofErr w:type="gramStart"/>
      <w:r w:rsidR="00B122CB">
        <w:t>E(</w:t>
      </w:r>
      <w:proofErr w:type="gramEnd"/>
      <w:r w:rsidR="00B122CB">
        <w:t>τ) or the average recurrence interval for the data set.</w:t>
      </w:r>
    </w:p>
    <w:p w:rsidR="007D6040" w:rsidRPr="007D6040" w:rsidRDefault="007D6040">
      <w:pPr>
        <w:pStyle w:val="NormalWeb"/>
      </w:pPr>
      <w:r>
        <w:rPr>
          <w:noProof/>
        </w:rPr>
        <w:drawing>
          <wp:inline distT="0" distB="0" distL="0" distR="0" wp14:anchorId="04847FDA" wp14:editId="6A29717C">
            <wp:extent cx="4524375" cy="31146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3114675"/>
                    </a:xfrm>
                    <a:prstGeom prst="rect">
                      <a:avLst/>
                    </a:prstGeom>
                    <a:noFill/>
                    <a:ln>
                      <a:noFill/>
                    </a:ln>
                  </pic:spPr>
                </pic:pic>
              </a:graphicData>
            </a:graphic>
          </wp:inline>
        </w:drawing>
      </w:r>
    </w:p>
    <w:p w:rsidR="007D6040" w:rsidRDefault="00B122CB">
      <w:pPr>
        <w:pStyle w:val="NormalWeb"/>
        <w:rPr>
          <w:i/>
        </w:rPr>
      </w:pPr>
      <w:r>
        <w:rPr>
          <w:i/>
        </w:rPr>
        <w:t xml:space="preserve">To be turned in:  Assume the design discharge is 30,000 </w:t>
      </w:r>
      <w:proofErr w:type="spellStart"/>
      <w:r>
        <w:rPr>
          <w:i/>
        </w:rPr>
        <w:t>cfs</w:t>
      </w:r>
      <w:proofErr w:type="spellEnd"/>
      <w:r>
        <w:rPr>
          <w:i/>
        </w:rPr>
        <w:t xml:space="preserve"> and determine the return period of this annual maximum discharge in the period 1900 to 1940, and in the period 1941-2010.   What was the annual probability, p, of having a flood discharge of at least 30,000 </w:t>
      </w:r>
      <w:proofErr w:type="spellStart"/>
      <w:r>
        <w:rPr>
          <w:i/>
        </w:rPr>
        <w:t>cfs</w:t>
      </w:r>
      <w:proofErr w:type="spellEnd"/>
      <w:r>
        <w:rPr>
          <w:i/>
        </w:rPr>
        <w:t xml:space="preserve"> flowing through Austin in the Colorado River before 1940?  </w:t>
      </w:r>
      <w:proofErr w:type="gramStart"/>
      <w:r>
        <w:rPr>
          <w:i/>
        </w:rPr>
        <w:t>After 1940?</w:t>
      </w:r>
      <w:proofErr w:type="gramEnd"/>
    </w:p>
    <w:p w:rsidR="00E91523" w:rsidRPr="00E91523" w:rsidRDefault="00E91523">
      <w:pPr>
        <w:pStyle w:val="NormalWeb"/>
        <w:rPr>
          <w:b/>
        </w:rPr>
      </w:pPr>
      <w:bookmarkStart w:id="1" w:name="Reccurence"/>
      <w:bookmarkStart w:id="2" w:name="SSP"/>
      <w:bookmarkEnd w:id="1"/>
      <w:bookmarkEnd w:id="2"/>
      <w:r w:rsidRPr="00E91523">
        <w:rPr>
          <w:b/>
        </w:rPr>
        <w:t>Using HEC-SSP</w:t>
      </w:r>
    </w:p>
    <w:p w:rsidR="00E91523" w:rsidRDefault="00E91523">
      <w:pPr>
        <w:pStyle w:val="NormalWeb"/>
      </w:pPr>
      <w:r>
        <w:t xml:space="preserve">Rather than designating a design discharge and then determining its return period, what we really want to do is to designate a return period and determine the corresponding design discharge.  To do that, we’re going to use the HEC-SSP program or Hydrologic Engineering Center, Statistical Software Program, Version 2.0, which can be obtained from </w:t>
      </w:r>
      <w:hyperlink r:id="rId9" w:history="1">
        <w:r w:rsidRPr="008C54AB">
          <w:rPr>
            <w:rStyle w:val="Hyperlink"/>
          </w:rPr>
          <w:t>http://www.hec.usace.army.mil/software/hec-ssp/</w:t>
        </w:r>
      </w:hyperlink>
      <w:r>
        <w:t xml:space="preserve">    It employs the Log Pearson Type III probability model using the procedures outlined in Bulletin 17B, Guidelines for Determining Flood Flow Frequency, </w:t>
      </w:r>
      <w:hyperlink r:id="rId10" w:history="1">
        <w:r w:rsidRPr="008C54AB">
          <w:rPr>
            <w:rStyle w:val="Hyperlink"/>
          </w:rPr>
          <w:t>http://water.usgs.gov/osw/bulletin17b/dl_flow.pdf</w:t>
        </w:r>
      </w:hyperlink>
      <w:r>
        <w:t xml:space="preserve">  Obtain HEC-SSP and install it on your own computer, or use the software installed for you in ECJ 3.302.   </w:t>
      </w:r>
    </w:p>
    <w:p w:rsidR="00C71AE5" w:rsidRDefault="00C71AE5">
      <w:pPr>
        <w:pStyle w:val="NormalWeb"/>
      </w:pPr>
      <w:r>
        <w:t>Open HEC-SSP</w:t>
      </w:r>
    </w:p>
    <w:p w:rsidR="00C71AE5" w:rsidRDefault="00C71AE5">
      <w:pPr>
        <w:pStyle w:val="NormalWeb"/>
      </w:pPr>
      <w:r>
        <w:t xml:space="preserve">  </w:t>
      </w:r>
      <w:r>
        <w:rPr>
          <w:noProof/>
        </w:rPr>
        <w:drawing>
          <wp:inline distT="0" distB="0" distL="0" distR="0" wp14:anchorId="7A393E63" wp14:editId="011B46E4">
            <wp:extent cx="2209800" cy="6477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0" cy="647700"/>
                    </a:xfrm>
                    <a:prstGeom prst="rect">
                      <a:avLst/>
                    </a:prstGeom>
                    <a:noFill/>
                    <a:ln>
                      <a:noFill/>
                    </a:ln>
                  </pic:spPr>
                </pic:pic>
              </a:graphicData>
            </a:graphic>
          </wp:inline>
        </w:drawing>
      </w:r>
    </w:p>
    <w:p w:rsidR="00C71AE5" w:rsidRDefault="00C71AE5">
      <w:pPr>
        <w:pStyle w:val="NormalWeb"/>
      </w:pPr>
      <w:r>
        <w:t xml:space="preserve">Create a new study by opening </w:t>
      </w:r>
      <w:r w:rsidRPr="00C71AE5">
        <w:rPr>
          <w:b/>
        </w:rPr>
        <w:t>File/New Study</w:t>
      </w:r>
    </w:p>
    <w:p w:rsidR="00C71AE5" w:rsidRDefault="00C71AE5">
      <w:pPr>
        <w:pStyle w:val="NormalWeb"/>
      </w:pPr>
      <w:r>
        <w:rPr>
          <w:noProof/>
        </w:rPr>
        <w:drawing>
          <wp:inline distT="0" distB="0" distL="0" distR="0" wp14:anchorId="0E7B541A" wp14:editId="2C561090">
            <wp:extent cx="1457325" cy="165735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1657350"/>
                    </a:xfrm>
                    <a:prstGeom prst="rect">
                      <a:avLst/>
                    </a:prstGeom>
                    <a:noFill/>
                    <a:ln>
                      <a:noFill/>
                    </a:ln>
                  </pic:spPr>
                </pic:pic>
              </a:graphicData>
            </a:graphic>
          </wp:inline>
        </w:drawing>
      </w:r>
    </w:p>
    <w:p w:rsidR="00E01BAD" w:rsidRDefault="00E01BAD">
      <w:pPr>
        <w:pStyle w:val="NormalWeb"/>
      </w:pPr>
      <w:r>
        <w:t>Add a study name and description, and store the study in a convenient file location:</w:t>
      </w:r>
    </w:p>
    <w:p w:rsidR="00E01BAD" w:rsidRDefault="00E01BAD">
      <w:pPr>
        <w:pStyle w:val="NormalWeb"/>
      </w:pPr>
      <w:r>
        <w:rPr>
          <w:noProof/>
        </w:rPr>
        <w:drawing>
          <wp:inline distT="0" distB="0" distL="0" distR="0" wp14:anchorId="7CC61C3E" wp14:editId="57367A5C">
            <wp:extent cx="4667250" cy="22383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67250" cy="2238375"/>
                    </a:xfrm>
                    <a:prstGeom prst="rect">
                      <a:avLst/>
                    </a:prstGeom>
                  </pic:spPr>
                </pic:pic>
              </a:graphicData>
            </a:graphic>
          </wp:inline>
        </w:drawing>
      </w:r>
    </w:p>
    <w:p w:rsidR="00E01BAD" w:rsidRDefault="00560F34">
      <w:pPr>
        <w:pStyle w:val="NormalWeb"/>
      </w:pPr>
      <w:r>
        <w:t xml:space="preserve">Use </w:t>
      </w:r>
      <w:r w:rsidRPr="00560F34">
        <w:rPr>
          <w:b/>
        </w:rPr>
        <w:t>Data/New</w:t>
      </w:r>
      <w:r>
        <w:t xml:space="preserve"> to get some data for our study:</w:t>
      </w:r>
    </w:p>
    <w:p w:rsidR="00560F34" w:rsidRDefault="00560F34">
      <w:pPr>
        <w:pStyle w:val="NormalWeb"/>
      </w:pPr>
      <w:r>
        <w:rPr>
          <w:noProof/>
        </w:rPr>
        <w:drawing>
          <wp:inline distT="0" distB="0" distL="0" distR="0" wp14:anchorId="6000F901" wp14:editId="205D968C">
            <wp:extent cx="2628900" cy="19716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p w:rsidR="00B95F15" w:rsidRDefault="00C92E48">
      <w:pPr>
        <w:pStyle w:val="NormalWeb"/>
      </w:pPr>
      <w:r>
        <w:t xml:space="preserve">Add a Name and Description of the data and select </w:t>
      </w:r>
      <w:r w:rsidRPr="00C92E48">
        <w:rPr>
          <w:b/>
        </w:rPr>
        <w:t>Get USGS Station ID’s by State</w:t>
      </w:r>
      <w:r>
        <w:t xml:space="preserve"> (and select Texas in the list of states that is offered).   There are 1060 such sites in Texas.  Only a few of them are shown below.</w:t>
      </w:r>
    </w:p>
    <w:p w:rsidR="00B95F15" w:rsidRDefault="00C92E48">
      <w:pPr>
        <w:pStyle w:val="NormalWeb"/>
      </w:pPr>
      <w:r>
        <w:rPr>
          <w:noProof/>
        </w:rPr>
        <w:drawing>
          <wp:inline distT="0" distB="0" distL="0" distR="0" wp14:anchorId="41654403" wp14:editId="64EF080C">
            <wp:extent cx="5419725" cy="6315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725" cy="6315075"/>
                    </a:xfrm>
                    <a:prstGeom prst="rect">
                      <a:avLst/>
                    </a:prstGeom>
                    <a:noFill/>
                    <a:ln>
                      <a:noFill/>
                    </a:ln>
                  </pic:spPr>
                </pic:pic>
              </a:graphicData>
            </a:graphic>
          </wp:inline>
        </w:drawing>
      </w:r>
    </w:p>
    <w:p w:rsidR="00C71AE5" w:rsidRDefault="006E7C7F">
      <w:pPr>
        <w:pStyle w:val="NormalWeb"/>
      </w:pPr>
      <w:r>
        <w:t xml:space="preserve">Click on the pull down menu for USGS Station ID’s and select station </w:t>
      </w:r>
      <w:r w:rsidRPr="006E7C7F">
        <w:rPr>
          <w:b/>
        </w:rPr>
        <w:t>08158000</w:t>
      </w:r>
    </w:p>
    <w:p w:rsidR="006E7C7F" w:rsidRDefault="006E7C7F">
      <w:pPr>
        <w:pStyle w:val="NormalWeb"/>
      </w:pPr>
      <w:r>
        <w:rPr>
          <w:noProof/>
        </w:rPr>
        <w:drawing>
          <wp:inline distT="0" distB="0" distL="0" distR="0" wp14:anchorId="41148FD9" wp14:editId="4CDF495B">
            <wp:extent cx="981075" cy="19812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1075" cy="1981200"/>
                    </a:xfrm>
                    <a:prstGeom prst="rect">
                      <a:avLst/>
                    </a:prstGeom>
                    <a:noFill/>
                    <a:ln>
                      <a:noFill/>
                    </a:ln>
                  </pic:spPr>
                </pic:pic>
              </a:graphicData>
            </a:graphic>
          </wp:inline>
        </w:drawing>
      </w:r>
    </w:p>
    <w:p w:rsidR="006E7C7F" w:rsidRDefault="00AE6354">
      <w:pPr>
        <w:pStyle w:val="NormalWeb"/>
      </w:pPr>
      <w:r w:rsidRPr="00AE6354">
        <w:rPr>
          <w:b/>
        </w:rPr>
        <w:t>Check the box</w:t>
      </w:r>
      <w:r>
        <w:t xml:space="preserve"> next to this station’s information, and scroll down to the bottom of the screen, and click on </w:t>
      </w:r>
      <w:r w:rsidRPr="00AE6354">
        <w:rPr>
          <w:b/>
        </w:rPr>
        <w:t>Import to Study DSS File</w:t>
      </w:r>
      <w:r>
        <w:t>.</w:t>
      </w:r>
      <w:r w:rsidR="004A4682">
        <w:t xml:space="preserve">   You should see some information about data being imported into your project.</w:t>
      </w:r>
    </w:p>
    <w:p w:rsidR="00AE6354" w:rsidRDefault="00AE6354">
      <w:pPr>
        <w:pStyle w:val="NormalWeb"/>
      </w:pPr>
      <w:r>
        <w:rPr>
          <w:noProof/>
        </w:rPr>
        <w:drawing>
          <wp:inline distT="0" distB="0" distL="0" distR="0" wp14:anchorId="2D0DF383" wp14:editId="0B43BF10">
            <wp:extent cx="6276975" cy="48291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6975" cy="4829175"/>
                    </a:xfrm>
                    <a:prstGeom prst="rect">
                      <a:avLst/>
                    </a:prstGeom>
                    <a:noFill/>
                    <a:ln>
                      <a:noFill/>
                    </a:ln>
                  </pic:spPr>
                </pic:pic>
              </a:graphicData>
            </a:graphic>
          </wp:inline>
        </w:drawing>
      </w:r>
    </w:p>
    <w:p w:rsidR="006E7C7F" w:rsidRDefault="004A4682">
      <w:pPr>
        <w:pStyle w:val="NormalWeb"/>
      </w:pPr>
      <w:r>
        <w:t>Close the data selection window.</w:t>
      </w:r>
    </w:p>
    <w:p w:rsidR="004A4682" w:rsidRDefault="004A4682">
      <w:pPr>
        <w:pStyle w:val="NormalWeb"/>
      </w:pPr>
      <w:r>
        <w:t>Now in your main display window, you should see</w:t>
      </w:r>
      <w:r w:rsidR="00327197">
        <w:t xml:space="preserve"> some data references displayed.  Right click on the Colorado-Austin data and </w:t>
      </w:r>
      <w:r w:rsidR="00327197" w:rsidRPr="00327197">
        <w:rPr>
          <w:b/>
        </w:rPr>
        <w:t>Plot</w:t>
      </w:r>
      <w:r w:rsidR="00327197">
        <w:t xml:space="preserve"> them.</w:t>
      </w:r>
    </w:p>
    <w:p w:rsidR="004A4682" w:rsidRDefault="00327197">
      <w:pPr>
        <w:pStyle w:val="NormalWeb"/>
      </w:pPr>
      <w:r>
        <w:rPr>
          <w:noProof/>
        </w:rPr>
        <w:drawing>
          <wp:inline distT="0" distB="0" distL="0" distR="0" wp14:anchorId="41056D74" wp14:editId="0844CE2A">
            <wp:extent cx="4048125" cy="43148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8125" cy="4314825"/>
                    </a:xfrm>
                    <a:prstGeom prst="rect">
                      <a:avLst/>
                    </a:prstGeom>
                    <a:noFill/>
                    <a:ln>
                      <a:noFill/>
                    </a:ln>
                  </pic:spPr>
                </pic:pic>
              </a:graphicData>
            </a:graphic>
          </wp:inline>
        </w:drawing>
      </w:r>
    </w:p>
    <w:p w:rsidR="00327197" w:rsidRDefault="008C3FFA">
      <w:pPr>
        <w:pStyle w:val="NormalWeb"/>
      </w:pPr>
      <w:r>
        <w:rPr>
          <w:noProof/>
        </w:rPr>
        <w:drawing>
          <wp:inline distT="0" distB="0" distL="0" distR="0" wp14:anchorId="52A5DEA0" wp14:editId="405A70E6">
            <wp:extent cx="5715000" cy="4762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15000" cy="4762500"/>
                    </a:xfrm>
                    <a:prstGeom prst="rect">
                      <a:avLst/>
                    </a:prstGeom>
                  </pic:spPr>
                </pic:pic>
              </a:graphicData>
            </a:graphic>
          </wp:inline>
        </w:drawing>
      </w:r>
    </w:p>
    <w:p w:rsidR="008C3FFA" w:rsidRDefault="008C3FFA">
      <w:pPr>
        <w:pStyle w:val="NormalWeb"/>
      </w:pPr>
      <w:r>
        <w:t>You should see a plot like the one shown above.  This has values recorded from 1898 to 2010 and one “historical flood” that occurred on the 7</w:t>
      </w:r>
      <w:r w:rsidRPr="008C3FFA">
        <w:rPr>
          <w:vertAlign w:val="superscript"/>
        </w:rPr>
        <w:t>th</w:t>
      </w:r>
      <w:r>
        <w:t xml:space="preserve"> of July 1869 and was estimated to be 550,000 </w:t>
      </w:r>
      <w:proofErr w:type="spellStart"/>
      <w:r>
        <w:t>cfs</w:t>
      </w:r>
      <w:proofErr w:type="spellEnd"/>
      <w:r>
        <w:t>.  Now that is a serious amount of water!</w:t>
      </w:r>
      <w:r w:rsidR="005F4F78">
        <w:t xml:space="preserve">   It is clear that there is a significant break in the flood discharges around 1940.</w:t>
      </w:r>
    </w:p>
    <w:p w:rsidR="005F4F78" w:rsidRPr="005F4F78" w:rsidRDefault="005F4F78">
      <w:pPr>
        <w:pStyle w:val="NormalWeb"/>
        <w:rPr>
          <w:i/>
        </w:rPr>
      </w:pPr>
      <w:r w:rsidRPr="005F4F78">
        <w:rPr>
          <w:i/>
        </w:rPr>
        <w:t>To be turned in: A plot of the flood discharges for the annual peak flows of the Colorado River at Austin including all the data and the historical flood.</w:t>
      </w:r>
    </w:p>
    <w:p w:rsidR="008C3FFA" w:rsidRDefault="00772352">
      <w:pPr>
        <w:pStyle w:val="NormalWeb"/>
        <w:rPr>
          <w:b/>
        </w:rPr>
      </w:pPr>
      <w:bookmarkStart w:id="3" w:name="Frequency"/>
      <w:bookmarkEnd w:id="3"/>
      <w:r w:rsidRPr="00772352">
        <w:rPr>
          <w:b/>
        </w:rPr>
        <w:t>Frequency Analysis of Flood Discharges</w:t>
      </w:r>
    </w:p>
    <w:p w:rsidR="00772352" w:rsidRPr="00772352" w:rsidRDefault="00772352">
      <w:pPr>
        <w:pStyle w:val="NormalWeb"/>
      </w:pPr>
      <w:r>
        <w:t xml:space="preserve">Begin a new analysis by selecting </w:t>
      </w:r>
      <w:r w:rsidRPr="00772352">
        <w:rPr>
          <w:b/>
        </w:rPr>
        <w:t>Analysis/New/ Bulletin 17B Flow Frequency</w:t>
      </w:r>
    </w:p>
    <w:p w:rsidR="00772352" w:rsidRDefault="00772352">
      <w:pPr>
        <w:pStyle w:val="NormalWeb"/>
      </w:pPr>
      <w:r>
        <w:rPr>
          <w:noProof/>
        </w:rPr>
        <w:drawing>
          <wp:inline distT="0" distB="0" distL="0" distR="0" wp14:anchorId="68A9FA0C" wp14:editId="5BEA9E09">
            <wp:extent cx="5133975" cy="8572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33975" cy="857250"/>
                    </a:xfrm>
                    <a:prstGeom prst="rect">
                      <a:avLst/>
                    </a:prstGeom>
                    <a:noFill/>
                    <a:ln>
                      <a:noFill/>
                    </a:ln>
                  </pic:spPr>
                </pic:pic>
              </a:graphicData>
            </a:graphic>
          </wp:inline>
        </w:drawing>
      </w:r>
    </w:p>
    <w:p w:rsidR="007A4301" w:rsidRDefault="007A4301">
      <w:pPr>
        <w:pStyle w:val="NormalWeb"/>
      </w:pPr>
      <w:r>
        <w:t xml:space="preserve">Add a Name and Description, </w:t>
      </w:r>
      <w:r w:rsidR="005725C7">
        <w:t xml:space="preserve">set the </w:t>
      </w:r>
      <w:r w:rsidR="005725C7" w:rsidRPr="005725C7">
        <w:rPr>
          <w:b/>
        </w:rPr>
        <w:t>Flow Data Set</w:t>
      </w:r>
      <w:r w:rsidR="005725C7">
        <w:t xml:space="preserve"> to </w:t>
      </w:r>
      <w:r w:rsidR="005725C7" w:rsidRPr="005725C7">
        <w:rPr>
          <w:b/>
        </w:rPr>
        <w:t>Colorado-Austin</w:t>
      </w:r>
      <w:r w:rsidR="005725C7">
        <w:t xml:space="preserve">, </w:t>
      </w:r>
      <w:r>
        <w:t xml:space="preserve">and set the </w:t>
      </w:r>
      <w:r w:rsidRPr="007A4301">
        <w:rPr>
          <w:b/>
        </w:rPr>
        <w:t>DSS Range</w:t>
      </w:r>
      <w:r>
        <w:t xml:space="preserve"> to </w:t>
      </w:r>
      <w:r w:rsidRPr="007A4301">
        <w:rPr>
          <w:b/>
        </w:rPr>
        <w:t>01Jan1900</w:t>
      </w:r>
      <w:r>
        <w:t xml:space="preserve"> to </w:t>
      </w:r>
      <w:r w:rsidRPr="007A4301">
        <w:rPr>
          <w:b/>
        </w:rPr>
        <w:t>31Dec1940</w:t>
      </w:r>
    </w:p>
    <w:p w:rsidR="00772352" w:rsidRDefault="005725C7">
      <w:pPr>
        <w:pStyle w:val="NormalWeb"/>
      </w:pPr>
      <w:r>
        <w:rPr>
          <w:noProof/>
        </w:rPr>
        <w:drawing>
          <wp:inline distT="0" distB="0" distL="0" distR="0" wp14:anchorId="52BDACE4" wp14:editId="519E76B3">
            <wp:extent cx="7400925" cy="53816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00925" cy="5381625"/>
                    </a:xfrm>
                    <a:prstGeom prst="rect">
                      <a:avLst/>
                    </a:prstGeom>
                    <a:noFill/>
                    <a:ln>
                      <a:noFill/>
                    </a:ln>
                  </pic:spPr>
                </pic:pic>
              </a:graphicData>
            </a:graphic>
          </wp:inline>
        </w:drawing>
      </w:r>
    </w:p>
    <w:p w:rsidR="005725C7" w:rsidRDefault="005725C7">
      <w:pPr>
        <w:pStyle w:val="NormalWeb"/>
      </w:pPr>
      <w:r>
        <w:t xml:space="preserve">Hit </w:t>
      </w:r>
      <w:r w:rsidRPr="005725C7">
        <w:rPr>
          <w:b/>
        </w:rPr>
        <w:t>Apply</w:t>
      </w:r>
      <w:r>
        <w:t xml:space="preserve">, </w:t>
      </w:r>
      <w:r w:rsidRPr="005725C7">
        <w:rPr>
          <w:b/>
        </w:rPr>
        <w:t>Compute</w:t>
      </w:r>
      <w:r>
        <w:t xml:space="preserve">, and </w:t>
      </w:r>
      <w:r w:rsidRPr="005725C7">
        <w:rPr>
          <w:b/>
        </w:rPr>
        <w:t>Plot Curve</w:t>
      </w:r>
      <w:r>
        <w:t>, and you should get a result like the one shown below:</w:t>
      </w:r>
    </w:p>
    <w:p w:rsidR="005725C7" w:rsidRDefault="005725C7">
      <w:pPr>
        <w:pStyle w:val="NormalWeb"/>
      </w:pPr>
      <w:r>
        <w:rPr>
          <w:noProof/>
        </w:rPr>
        <w:drawing>
          <wp:inline distT="0" distB="0" distL="0" distR="0" wp14:anchorId="473CA2FE" wp14:editId="7C45CEAD">
            <wp:extent cx="5715000" cy="47625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15000" cy="4762500"/>
                    </a:xfrm>
                    <a:prstGeom prst="rect">
                      <a:avLst/>
                    </a:prstGeom>
                  </pic:spPr>
                </pic:pic>
              </a:graphicData>
            </a:graphic>
          </wp:inline>
        </w:drawing>
      </w:r>
    </w:p>
    <w:p w:rsidR="005725C7" w:rsidRDefault="005725C7">
      <w:pPr>
        <w:pStyle w:val="NormalWeb"/>
      </w:pPr>
      <w:r>
        <w:t>And if you hit View Report, you’ll be able to scroll down the resulting report and get a display like the one shown below:</w:t>
      </w:r>
    </w:p>
    <w:p w:rsidR="005725C7" w:rsidRDefault="005725C7">
      <w:pPr>
        <w:pStyle w:val="NormalWeb"/>
      </w:pPr>
      <w:r>
        <w:rPr>
          <w:noProof/>
        </w:rPr>
        <w:drawing>
          <wp:inline distT="0" distB="0" distL="0" distR="0" wp14:anchorId="1D16ABF9" wp14:editId="09D0434E">
            <wp:extent cx="5467350" cy="64103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67350" cy="6410325"/>
                    </a:xfrm>
                    <a:prstGeom prst="rect">
                      <a:avLst/>
                    </a:prstGeom>
                  </pic:spPr>
                </pic:pic>
              </a:graphicData>
            </a:graphic>
          </wp:inline>
        </w:drawing>
      </w:r>
    </w:p>
    <w:p w:rsidR="005725C7" w:rsidRPr="00CE3891" w:rsidRDefault="00CE3891">
      <w:pPr>
        <w:pStyle w:val="NormalWeb"/>
        <w:rPr>
          <w:i/>
        </w:rPr>
      </w:pPr>
      <w:r w:rsidRPr="00CE3891">
        <w:rPr>
          <w:i/>
        </w:rPr>
        <w:t>To be turned in:  A plot and a table of results for the frequency analysis for the Colorado River at Austin for the period 1900 to 1940.</w:t>
      </w:r>
    </w:p>
    <w:p w:rsidR="00CE3891" w:rsidRDefault="00CE3891">
      <w:pPr>
        <w:pStyle w:val="NormalWeb"/>
      </w:pPr>
      <w:r>
        <w:t xml:space="preserve">Now, do </w:t>
      </w:r>
      <w:r w:rsidR="00A01757">
        <w:t>a similar analysis</w:t>
      </w:r>
      <w:r>
        <w:t xml:space="preserve"> for the period 1941 to 2010</w:t>
      </w:r>
      <w:r w:rsidR="00A01757">
        <w:t xml:space="preserve">.  Start </w:t>
      </w:r>
      <w:proofErr w:type="spellStart"/>
      <w:proofErr w:type="gramStart"/>
      <w:r w:rsidR="00A01757">
        <w:t>a</w:t>
      </w:r>
      <w:proofErr w:type="spellEnd"/>
      <w:proofErr w:type="gramEnd"/>
      <w:r w:rsidR="00A01757">
        <w:t xml:space="preserve"> </w:t>
      </w:r>
      <w:r w:rsidR="00A01757" w:rsidRPr="00A01757">
        <w:rPr>
          <w:b/>
        </w:rPr>
        <w:t>Analysis/New</w:t>
      </w:r>
      <w:r w:rsidR="00A01757">
        <w:t xml:space="preserve"> as you did before, and enter the data as:</w:t>
      </w:r>
    </w:p>
    <w:p w:rsidR="00A01757" w:rsidRDefault="00A01757">
      <w:pPr>
        <w:pStyle w:val="NormalWeb"/>
      </w:pPr>
      <w:r>
        <w:rPr>
          <w:noProof/>
        </w:rPr>
        <w:drawing>
          <wp:inline distT="0" distB="0" distL="0" distR="0" wp14:anchorId="15B2C4A1" wp14:editId="062E1E4C">
            <wp:extent cx="7315200" cy="53530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315200" cy="5353050"/>
                    </a:xfrm>
                    <a:prstGeom prst="rect">
                      <a:avLst/>
                    </a:prstGeom>
                    <a:noFill/>
                    <a:ln>
                      <a:noFill/>
                    </a:ln>
                  </pic:spPr>
                </pic:pic>
              </a:graphicData>
            </a:graphic>
          </wp:inline>
        </w:drawing>
      </w:r>
    </w:p>
    <w:p w:rsidR="00A01757" w:rsidRDefault="00A01757">
      <w:pPr>
        <w:pStyle w:val="NormalWeb"/>
      </w:pPr>
      <w:r>
        <w:t>Hit Apply, Compute and Plot Curve and you should get a result like the one below</w:t>
      </w:r>
      <w:r w:rsidR="00887BC0">
        <w:t>.</w:t>
      </w:r>
    </w:p>
    <w:p w:rsidR="00887BC0" w:rsidRDefault="00887BC0">
      <w:pPr>
        <w:pStyle w:val="NormalWeb"/>
      </w:pPr>
      <w:r>
        <w:t>Use File/Save Study to store the results of your analysis</w:t>
      </w:r>
    </w:p>
    <w:p w:rsidR="00887BC0" w:rsidRDefault="00887BC0">
      <w:pPr>
        <w:pStyle w:val="NormalWeb"/>
      </w:pPr>
      <w:r>
        <w:rPr>
          <w:noProof/>
        </w:rPr>
        <w:drawing>
          <wp:inline distT="0" distB="0" distL="0" distR="0" wp14:anchorId="324CF9DD" wp14:editId="4E1A6C39">
            <wp:extent cx="14478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47800" cy="1390650"/>
                    </a:xfrm>
                    <a:prstGeom prst="rect">
                      <a:avLst/>
                    </a:prstGeom>
                    <a:noFill/>
                    <a:ln>
                      <a:noFill/>
                    </a:ln>
                  </pic:spPr>
                </pic:pic>
              </a:graphicData>
            </a:graphic>
          </wp:inline>
        </w:drawing>
      </w:r>
    </w:p>
    <w:p w:rsidR="00A01757" w:rsidRDefault="00A01757">
      <w:pPr>
        <w:pStyle w:val="NormalWeb"/>
      </w:pPr>
      <w:r>
        <w:rPr>
          <w:noProof/>
        </w:rPr>
        <w:drawing>
          <wp:inline distT="0" distB="0" distL="0" distR="0" wp14:anchorId="66B6B7D9" wp14:editId="0AB7E450">
            <wp:extent cx="5715000" cy="4762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15000" cy="4762500"/>
                    </a:xfrm>
                    <a:prstGeom prst="rect">
                      <a:avLst/>
                    </a:prstGeom>
                  </pic:spPr>
                </pic:pic>
              </a:graphicData>
            </a:graphic>
          </wp:inline>
        </w:drawing>
      </w:r>
    </w:p>
    <w:p w:rsidR="00CE3891" w:rsidRPr="00E53ADA" w:rsidRDefault="00E53ADA">
      <w:pPr>
        <w:pStyle w:val="NormalWeb"/>
        <w:rPr>
          <w:i/>
        </w:rPr>
      </w:pPr>
      <w:r>
        <w:t xml:space="preserve">To be Turned In: </w:t>
      </w:r>
      <w:r w:rsidRPr="00CE3891">
        <w:rPr>
          <w:i/>
        </w:rPr>
        <w:t>A plot and a table of results for the frequency analysis for the Colorado River at Austin for the period 19</w:t>
      </w:r>
      <w:r>
        <w:rPr>
          <w:i/>
        </w:rPr>
        <w:t>41</w:t>
      </w:r>
      <w:r w:rsidRPr="00CE3891">
        <w:rPr>
          <w:i/>
        </w:rPr>
        <w:t xml:space="preserve"> to </w:t>
      </w:r>
      <w:r>
        <w:rPr>
          <w:i/>
        </w:rPr>
        <w:t>2010</w:t>
      </w:r>
      <w:r w:rsidRPr="00CE3891">
        <w:rPr>
          <w:i/>
        </w:rPr>
        <w:t>.</w:t>
      </w:r>
      <w:r>
        <w:rPr>
          <w:i/>
        </w:rPr>
        <w:t xml:space="preserve">   Using the “Computed Curve Flows” make a comparison of the 2, 5, 10, 50 and 100 year design discharges for the two periods.  By what amount did the construction of the dams reduce the 100 year flood flow of the Colorado River at Austin? What are the 95% confidence limits on the 100 year flood discharge estimate for the “After Dams” condition?</w:t>
      </w:r>
    </w:p>
    <w:p w:rsidR="00062CF9" w:rsidRDefault="00377CA4">
      <w:pPr>
        <w:pStyle w:val="NormalWeb"/>
        <w:rPr>
          <w:b/>
          <w:iCs/>
          <w:sz w:val="28"/>
          <w:szCs w:val="28"/>
        </w:rPr>
      </w:pPr>
      <w:bookmarkStart w:id="4" w:name="Summary"/>
      <w:bookmarkEnd w:id="4"/>
      <w:r>
        <w:rPr>
          <w:b/>
          <w:iCs/>
          <w:sz w:val="28"/>
          <w:szCs w:val="28"/>
        </w:rPr>
        <w:t>Summary of items to be turned in:</w:t>
      </w:r>
    </w:p>
    <w:p w:rsidR="009A779F" w:rsidRDefault="009A779F" w:rsidP="009A779F">
      <w:pPr>
        <w:pStyle w:val="NormalWeb"/>
        <w:rPr>
          <w:i/>
        </w:rPr>
      </w:pPr>
      <w:r>
        <w:t>(1)</w:t>
      </w:r>
      <w:r>
        <w:rPr>
          <w:i/>
        </w:rPr>
        <w:t xml:space="preserve">  Assume the design discharge is 30,000 </w:t>
      </w:r>
      <w:proofErr w:type="spellStart"/>
      <w:r>
        <w:rPr>
          <w:i/>
        </w:rPr>
        <w:t>cfs</w:t>
      </w:r>
      <w:proofErr w:type="spellEnd"/>
      <w:r>
        <w:rPr>
          <w:i/>
        </w:rPr>
        <w:t xml:space="preserve"> and determine the return period of this annual maximum discharge in the period 1900 to 1940, and in the period 1941-2010.   What was the annual probability, p, of having a flood discharge of at least 30,000 </w:t>
      </w:r>
      <w:proofErr w:type="spellStart"/>
      <w:r>
        <w:rPr>
          <w:i/>
        </w:rPr>
        <w:t>cfs</w:t>
      </w:r>
      <w:proofErr w:type="spellEnd"/>
      <w:r>
        <w:rPr>
          <w:i/>
        </w:rPr>
        <w:t xml:space="preserve"> flowing through Austin in the Colorado River before 1940?  </w:t>
      </w:r>
      <w:proofErr w:type="gramStart"/>
      <w:r>
        <w:rPr>
          <w:i/>
        </w:rPr>
        <w:t>After 1940?</w:t>
      </w:r>
      <w:proofErr w:type="gramEnd"/>
    </w:p>
    <w:p w:rsidR="005F4F78" w:rsidRDefault="005F4F78" w:rsidP="009A779F">
      <w:pPr>
        <w:pStyle w:val="NormalWeb"/>
        <w:rPr>
          <w:i/>
        </w:rPr>
      </w:pPr>
      <w:r>
        <w:rPr>
          <w:i/>
        </w:rPr>
        <w:t xml:space="preserve">(2) </w:t>
      </w:r>
      <w:r w:rsidRPr="005F4F78">
        <w:rPr>
          <w:i/>
        </w:rPr>
        <w:t>A plot of the flood discharges for the annual peak flows of the Colorado River at Austin including all the data and the historical flood.</w:t>
      </w:r>
    </w:p>
    <w:p w:rsidR="00A01757" w:rsidRPr="00CE3891" w:rsidRDefault="00A01757" w:rsidP="00A01757">
      <w:pPr>
        <w:pStyle w:val="NormalWeb"/>
        <w:rPr>
          <w:i/>
        </w:rPr>
      </w:pPr>
      <w:r>
        <w:rPr>
          <w:i/>
        </w:rPr>
        <w:t xml:space="preserve">(3) </w:t>
      </w:r>
      <w:r w:rsidRPr="00CE3891">
        <w:rPr>
          <w:i/>
        </w:rPr>
        <w:t>A plot and a table of results for the frequency analysis for the Colorado River at Austin for the period 1900 to 1940.</w:t>
      </w:r>
    </w:p>
    <w:p w:rsidR="00A01757" w:rsidRDefault="00A01757" w:rsidP="009A779F">
      <w:pPr>
        <w:pStyle w:val="NormalWeb"/>
        <w:rPr>
          <w:i/>
        </w:rPr>
      </w:pPr>
      <w:r>
        <w:rPr>
          <w:i/>
        </w:rPr>
        <w:t xml:space="preserve">(4) </w:t>
      </w:r>
      <w:r w:rsidR="00E53ADA" w:rsidRPr="00CE3891">
        <w:rPr>
          <w:i/>
        </w:rPr>
        <w:t>A plot and a table of results for the frequency analysis for the Colorado River at Austin for the period 19</w:t>
      </w:r>
      <w:r w:rsidR="00E53ADA">
        <w:rPr>
          <w:i/>
        </w:rPr>
        <w:t>41</w:t>
      </w:r>
      <w:r w:rsidR="00E53ADA" w:rsidRPr="00CE3891">
        <w:rPr>
          <w:i/>
        </w:rPr>
        <w:t xml:space="preserve"> to </w:t>
      </w:r>
      <w:r w:rsidR="00E53ADA">
        <w:rPr>
          <w:i/>
        </w:rPr>
        <w:t>2010</w:t>
      </w:r>
      <w:r w:rsidR="00E53ADA" w:rsidRPr="00CE3891">
        <w:rPr>
          <w:i/>
        </w:rPr>
        <w:t>.</w:t>
      </w:r>
      <w:r w:rsidR="00E53ADA">
        <w:rPr>
          <w:i/>
        </w:rPr>
        <w:t xml:space="preserve">  Using the “Computed Curve Flows” make a comparison of the 2, 5, 10, 50 and 100 year design discharges for the two periods.  By what amount did the construction of the dams reduce the 100 year flood flow of the Colorado River at Austin? What are the 95% confidence limits on the 100 year flood discharge estimate for the “After Dams” condition?</w:t>
      </w:r>
    </w:p>
    <w:p w:rsidR="00062CF9" w:rsidRDefault="00377CA4">
      <w:pPr>
        <w:pStyle w:val="NormalWeb"/>
      </w:pPr>
      <w:r>
        <w:t xml:space="preserve">Return to </w:t>
      </w:r>
      <w:hyperlink r:id="rId27" w:history="1">
        <w:proofErr w:type="spellStart"/>
        <w:r w:rsidRPr="0072391C">
          <w:rPr>
            <w:rStyle w:val="Hyperlink"/>
          </w:rPr>
          <w:t>Dr</w:t>
        </w:r>
        <w:proofErr w:type="spellEnd"/>
        <w:r w:rsidRPr="0072391C">
          <w:rPr>
            <w:rStyle w:val="Hyperlink"/>
          </w:rPr>
          <w:t xml:space="preserve"> </w:t>
        </w:r>
        <w:proofErr w:type="spellStart"/>
        <w:r w:rsidRPr="0072391C">
          <w:rPr>
            <w:rStyle w:val="Hyperlink"/>
          </w:rPr>
          <w:t>Maidment’s</w:t>
        </w:r>
        <w:proofErr w:type="spellEnd"/>
        <w:r w:rsidRPr="0072391C">
          <w:rPr>
            <w:rStyle w:val="Hyperlink"/>
          </w:rPr>
          <w:t xml:space="preserve"> Home Page</w:t>
        </w:r>
      </w:hyperlink>
    </w:p>
    <w:p w:rsidR="00062CF9" w:rsidRDefault="00062CF9"/>
    <w:sectPr w:rsidR="00062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B91"/>
    <w:multiLevelType w:val="hybridMultilevel"/>
    <w:tmpl w:val="E0CED52C"/>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240499"/>
    <w:multiLevelType w:val="hybridMultilevel"/>
    <w:tmpl w:val="25BE43E4"/>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E155EC"/>
    <w:multiLevelType w:val="hybridMultilevel"/>
    <w:tmpl w:val="7EAAC52C"/>
    <w:lvl w:ilvl="0" w:tplc="1CBCAB7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proofState w:spelling="clean" w:grammar="clean"/>
  <w:defaultTabStop w:val="720"/>
  <w:hyphenationZone w:val="420"/>
  <w:noPunctuationKerning/>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377CA4"/>
    <w:rsid w:val="000018FB"/>
    <w:rsid w:val="00062CF9"/>
    <w:rsid w:val="000F176C"/>
    <w:rsid w:val="000F7E51"/>
    <w:rsid w:val="001267E0"/>
    <w:rsid w:val="00242142"/>
    <w:rsid w:val="002C7F5A"/>
    <w:rsid w:val="003015DE"/>
    <w:rsid w:val="003156FA"/>
    <w:rsid w:val="00327197"/>
    <w:rsid w:val="00377CA4"/>
    <w:rsid w:val="003C62B0"/>
    <w:rsid w:val="0045648D"/>
    <w:rsid w:val="004A4682"/>
    <w:rsid w:val="00560F34"/>
    <w:rsid w:val="005725C7"/>
    <w:rsid w:val="005C09B7"/>
    <w:rsid w:val="005F4F78"/>
    <w:rsid w:val="00606898"/>
    <w:rsid w:val="006E7C7F"/>
    <w:rsid w:val="0072391C"/>
    <w:rsid w:val="00723DEC"/>
    <w:rsid w:val="00772352"/>
    <w:rsid w:val="007A4301"/>
    <w:rsid w:val="007B6855"/>
    <w:rsid w:val="007D6040"/>
    <w:rsid w:val="00887BC0"/>
    <w:rsid w:val="008C3FFA"/>
    <w:rsid w:val="00952C56"/>
    <w:rsid w:val="009752AA"/>
    <w:rsid w:val="009A779F"/>
    <w:rsid w:val="00A01757"/>
    <w:rsid w:val="00A413AA"/>
    <w:rsid w:val="00AE6354"/>
    <w:rsid w:val="00B122CB"/>
    <w:rsid w:val="00B95F15"/>
    <w:rsid w:val="00C71AE5"/>
    <w:rsid w:val="00C92E48"/>
    <w:rsid w:val="00CE3891"/>
    <w:rsid w:val="00E01BAD"/>
    <w:rsid w:val="00E53ADA"/>
    <w:rsid w:val="00E915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aee.utexas.edu/prof/maidment/ce374KSpr12/HECSSP/Colorado.xlsx" TargetMode="Externa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ater.usgs.gov/osw/bulletin17b/dl_flow.pdf"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hec.usace.army.mil/software/hec-ssp/"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www.caee.utexas.edu/prof/maidme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ustin.utexas.edu\disk\caee\wwwroot\prof\maidment\CE374KSpring2011\HECSSP\Colorado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scatterChart>
        <c:scatterStyle val="lineMarker"/>
        <c:varyColors val="0"/>
        <c:ser>
          <c:idx val="0"/>
          <c:order val="0"/>
          <c:tx>
            <c:strRef>
              <c:f>Colorado!$C$1</c:f>
              <c:strCache>
                <c:ptCount val="1"/>
                <c:pt idx="0">
                  <c:v>Discharge (cfs)</c:v>
                </c:pt>
              </c:strCache>
            </c:strRef>
          </c:tx>
          <c:spPr>
            <a:ln w="28575">
              <a:noFill/>
            </a:ln>
          </c:spPr>
          <c:xVal>
            <c:numRef>
              <c:f>Colorado!$B$2:$B$112</c:f>
              <c:numCache>
                <c:formatCode>0</c:formatCode>
                <c:ptCount val="111"/>
                <c:pt idx="0">
                  <c:v>1900</c:v>
                </c:pt>
                <c:pt idx="1">
                  <c:v>1901</c:v>
                </c:pt>
                <c:pt idx="2">
                  <c:v>1902</c:v>
                </c:pt>
                <c:pt idx="3">
                  <c:v>1903</c:v>
                </c:pt>
                <c:pt idx="4">
                  <c:v>1904</c:v>
                </c:pt>
                <c:pt idx="5">
                  <c:v>1905</c:v>
                </c:pt>
                <c:pt idx="6">
                  <c:v>1906</c:v>
                </c:pt>
                <c:pt idx="7">
                  <c:v>1907</c:v>
                </c:pt>
                <c:pt idx="8">
                  <c:v>1908</c:v>
                </c:pt>
                <c:pt idx="9">
                  <c:v>1909</c:v>
                </c:pt>
                <c:pt idx="10">
                  <c:v>1910</c:v>
                </c:pt>
                <c:pt idx="11">
                  <c:v>1911</c:v>
                </c:pt>
                <c:pt idx="12">
                  <c:v>1912</c:v>
                </c:pt>
                <c:pt idx="13">
                  <c:v>1913</c:v>
                </c:pt>
                <c:pt idx="14">
                  <c:v>1914</c:v>
                </c:pt>
                <c:pt idx="15">
                  <c:v>1915</c:v>
                </c:pt>
                <c:pt idx="16">
                  <c:v>1916</c:v>
                </c:pt>
                <c:pt idx="17">
                  <c:v>1917</c:v>
                </c:pt>
                <c:pt idx="18">
                  <c:v>1918</c:v>
                </c:pt>
                <c:pt idx="19">
                  <c:v>1919</c:v>
                </c:pt>
                <c:pt idx="20">
                  <c:v>1920</c:v>
                </c:pt>
                <c:pt idx="21">
                  <c:v>1921</c:v>
                </c:pt>
                <c:pt idx="22">
                  <c:v>1922</c:v>
                </c:pt>
                <c:pt idx="23">
                  <c:v>1923</c:v>
                </c:pt>
                <c:pt idx="24">
                  <c:v>1924</c:v>
                </c:pt>
                <c:pt idx="25">
                  <c:v>1925</c:v>
                </c:pt>
                <c:pt idx="26">
                  <c:v>1926</c:v>
                </c:pt>
                <c:pt idx="27">
                  <c:v>1927</c:v>
                </c:pt>
                <c:pt idx="28">
                  <c:v>1928</c:v>
                </c:pt>
                <c:pt idx="29">
                  <c:v>1929</c:v>
                </c:pt>
                <c:pt idx="30">
                  <c:v>1930</c:v>
                </c:pt>
                <c:pt idx="31">
                  <c:v>1931</c:v>
                </c:pt>
                <c:pt idx="32">
                  <c:v>1932</c:v>
                </c:pt>
                <c:pt idx="33">
                  <c:v>1933</c:v>
                </c:pt>
                <c:pt idx="34">
                  <c:v>1934</c:v>
                </c:pt>
                <c:pt idx="35">
                  <c:v>1935</c:v>
                </c:pt>
                <c:pt idx="36">
                  <c:v>1936</c:v>
                </c:pt>
                <c:pt idx="37">
                  <c:v>1937</c:v>
                </c:pt>
                <c:pt idx="38">
                  <c:v>1938</c:v>
                </c:pt>
                <c:pt idx="39">
                  <c:v>1939</c:v>
                </c:pt>
                <c:pt idx="40">
                  <c:v>1940</c:v>
                </c:pt>
                <c:pt idx="41">
                  <c:v>1941</c:v>
                </c:pt>
                <c:pt idx="42">
                  <c:v>1942</c:v>
                </c:pt>
                <c:pt idx="43">
                  <c:v>1943</c:v>
                </c:pt>
                <c:pt idx="44">
                  <c:v>1944</c:v>
                </c:pt>
                <c:pt idx="45">
                  <c:v>1945</c:v>
                </c:pt>
                <c:pt idx="46">
                  <c:v>1946</c:v>
                </c:pt>
                <c:pt idx="47">
                  <c:v>1947</c:v>
                </c:pt>
                <c:pt idx="48">
                  <c:v>1948</c:v>
                </c:pt>
                <c:pt idx="49">
                  <c:v>1949</c:v>
                </c:pt>
                <c:pt idx="50">
                  <c:v>1950</c:v>
                </c:pt>
                <c:pt idx="51">
                  <c:v>1951</c:v>
                </c:pt>
                <c:pt idx="52">
                  <c:v>1952</c:v>
                </c:pt>
                <c:pt idx="53">
                  <c:v>1953</c:v>
                </c:pt>
                <c:pt idx="54">
                  <c:v>1954</c:v>
                </c:pt>
                <c:pt idx="55">
                  <c:v>1955</c:v>
                </c:pt>
                <c:pt idx="56">
                  <c:v>1956</c:v>
                </c:pt>
                <c:pt idx="57">
                  <c:v>1957</c:v>
                </c:pt>
                <c:pt idx="58">
                  <c:v>1958</c:v>
                </c:pt>
                <c:pt idx="59">
                  <c:v>1959</c:v>
                </c:pt>
                <c:pt idx="60">
                  <c:v>1960</c:v>
                </c:pt>
                <c:pt idx="61">
                  <c:v>1961</c:v>
                </c:pt>
                <c:pt idx="62">
                  <c:v>1962</c:v>
                </c:pt>
                <c:pt idx="63">
                  <c:v>1963</c:v>
                </c:pt>
                <c:pt idx="64">
                  <c:v>1964</c:v>
                </c:pt>
                <c:pt idx="65">
                  <c:v>1965</c:v>
                </c:pt>
                <c:pt idx="66">
                  <c:v>1966</c:v>
                </c:pt>
                <c:pt idx="67">
                  <c:v>1967</c:v>
                </c:pt>
                <c:pt idx="68">
                  <c:v>1968</c:v>
                </c:pt>
                <c:pt idx="69">
                  <c:v>1969</c:v>
                </c:pt>
                <c:pt idx="70">
                  <c:v>1970</c:v>
                </c:pt>
                <c:pt idx="71">
                  <c:v>1971</c:v>
                </c:pt>
                <c:pt idx="72">
                  <c:v>1972</c:v>
                </c:pt>
                <c:pt idx="73">
                  <c:v>1973</c:v>
                </c:pt>
                <c:pt idx="74">
                  <c:v>1974</c:v>
                </c:pt>
                <c:pt idx="75">
                  <c:v>1975</c:v>
                </c:pt>
                <c:pt idx="76">
                  <c:v>1976</c:v>
                </c:pt>
                <c:pt idx="77">
                  <c:v>1977</c:v>
                </c:pt>
                <c:pt idx="78">
                  <c:v>1978</c:v>
                </c:pt>
                <c:pt idx="79">
                  <c:v>1979</c:v>
                </c:pt>
                <c:pt idx="80">
                  <c:v>1980</c:v>
                </c:pt>
                <c:pt idx="81">
                  <c:v>1981</c:v>
                </c:pt>
                <c:pt idx="82">
                  <c:v>1982</c:v>
                </c:pt>
                <c:pt idx="83">
                  <c:v>1983</c:v>
                </c:pt>
                <c:pt idx="84">
                  <c:v>1984</c:v>
                </c:pt>
                <c:pt idx="85">
                  <c:v>1985</c:v>
                </c:pt>
                <c:pt idx="86">
                  <c:v>1986</c:v>
                </c:pt>
                <c:pt idx="87">
                  <c:v>1987</c:v>
                </c:pt>
                <c:pt idx="88">
                  <c:v>1988</c:v>
                </c:pt>
                <c:pt idx="89">
                  <c:v>1989</c:v>
                </c:pt>
                <c:pt idx="90">
                  <c:v>1990</c:v>
                </c:pt>
                <c:pt idx="91">
                  <c:v>1991</c:v>
                </c:pt>
                <c:pt idx="92">
                  <c:v>1992</c:v>
                </c:pt>
                <c:pt idx="93">
                  <c:v>1993</c:v>
                </c:pt>
                <c:pt idx="94">
                  <c:v>1994</c:v>
                </c:pt>
                <c:pt idx="95">
                  <c:v>1995</c:v>
                </c:pt>
                <c:pt idx="96">
                  <c:v>1996</c:v>
                </c:pt>
                <c:pt idx="97">
                  <c:v>1997</c:v>
                </c:pt>
                <c:pt idx="98">
                  <c:v>1998</c:v>
                </c:pt>
                <c:pt idx="99">
                  <c:v>1999</c:v>
                </c:pt>
                <c:pt idx="100">
                  <c:v>2000</c:v>
                </c:pt>
                <c:pt idx="101">
                  <c:v>2001</c:v>
                </c:pt>
                <c:pt idx="102">
                  <c:v>2002</c:v>
                </c:pt>
                <c:pt idx="103">
                  <c:v>2003</c:v>
                </c:pt>
                <c:pt idx="104">
                  <c:v>2004</c:v>
                </c:pt>
                <c:pt idx="105">
                  <c:v>2005</c:v>
                </c:pt>
                <c:pt idx="106">
                  <c:v>2006</c:v>
                </c:pt>
                <c:pt idx="107">
                  <c:v>2007</c:v>
                </c:pt>
                <c:pt idx="108">
                  <c:v>2008</c:v>
                </c:pt>
                <c:pt idx="109">
                  <c:v>2009</c:v>
                </c:pt>
                <c:pt idx="110">
                  <c:v>2010</c:v>
                </c:pt>
              </c:numCache>
            </c:numRef>
          </c:xVal>
          <c:yVal>
            <c:numRef>
              <c:f>Colorado!$C$2:$C$112</c:f>
              <c:numCache>
                <c:formatCode>General</c:formatCode>
                <c:ptCount val="111"/>
                <c:pt idx="0">
                  <c:v>236000</c:v>
                </c:pt>
                <c:pt idx="1">
                  <c:v>28700</c:v>
                </c:pt>
                <c:pt idx="2">
                  <c:v>35900</c:v>
                </c:pt>
                <c:pt idx="3">
                  <c:v>33700</c:v>
                </c:pt>
                <c:pt idx="4">
                  <c:v>31500</c:v>
                </c:pt>
                <c:pt idx="5">
                  <c:v>52900</c:v>
                </c:pt>
                <c:pt idx="6">
                  <c:v>78500</c:v>
                </c:pt>
                <c:pt idx="7">
                  <c:v>28100</c:v>
                </c:pt>
                <c:pt idx="8">
                  <c:v>100000</c:v>
                </c:pt>
                <c:pt idx="9">
                  <c:v>29700</c:v>
                </c:pt>
                <c:pt idx="10">
                  <c:v>27400</c:v>
                </c:pt>
                <c:pt idx="11">
                  <c:v>27400</c:v>
                </c:pt>
                <c:pt idx="12">
                  <c:v>17400</c:v>
                </c:pt>
                <c:pt idx="13">
                  <c:v>47100</c:v>
                </c:pt>
                <c:pt idx="14">
                  <c:v>164000</c:v>
                </c:pt>
                <c:pt idx="15">
                  <c:v>84000</c:v>
                </c:pt>
                <c:pt idx="16">
                  <c:v>46000</c:v>
                </c:pt>
                <c:pt idx="17">
                  <c:v>11100</c:v>
                </c:pt>
                <c:pt idx="18">
                  <c:v>51500</c:v>
                </c:pt>
                <c:pt idx="19">
                  <c:v>74800</c:v>
                </c:pt>
                <c:pt idx="20">
                  <c:v>50300</c:v>
                </c:pt>
                <c:pt idx="21">
                  <c:v>75700</c:v>
                </c:pt>
                <c:pt idx="22">
                  <c:v>120000</c:v>
                </c:pt>
                <c:pt idx="23">
                  <c:v>50200</c:v>
                </c:pt>
                <c:pt idx="24">
                  <c:v>53000</c:v>
                </c:pt>
                <c:pt idx="25">
                  <c:v>32000</c:v>
                </c:pt>
                <c:pt idx="26">
                  <c:v>33300</c:v>
                </c:pt>
                <c:pt idx="27">
                  <c:v>46000</c:v>
                </c:pt>
                <c:pt idx="28">
                  <c:v>39500</c:v>
                </c:pt>
                <c:pt idx="29">
                  <c:v>154000</c:v>
                </c:pt>
                <c:pt idx="30">
                  <c:v>37300</c:v>
                </c:pt>
                <c:pt idx="31">
                  <c:v>97600</c:v>
                </c:pt>
                <c:pt idx="32">
                  <c:v>77500</c:v>
                </c:pt>
                <c:pt idx="33">
                  <c:v>44200</c:v>
                </c:pt>
                <c:pt idx="34">
                  <c:v>45300</c:v>
                </c:pt>
                <c:pt idx="35">
                  <c:v>481000</c:v>
                </c:pt>
                <c:pt idx="36">
                  <c:v>234000</c:v>
                </c:pt>
                <c:pt idx="37">
                  <c:v>98200</c:v>
                </c:pt>
                <c:pt idx="38">
                  <c:v>276000</c:v>
                </c:pt>
                <c:pt idx="39">
                  <c:v>20400</c:v>
                </c:pt>
                <c:pt idx="40">
                  <c:v>45700</c:v>
                </c:pt>
                <c:pt idx="41">
                  <c:v>47600</c:v>
                </c:pt>
                <c:pt idx="42">
                  <c:v>5800</c:v>
                </c:pt>
                <c:pt idx="43">
                  <c:v>11900</c:v>
                </c:pt>
                <c:pt idx="44">
                  <c:v>4230</c:v>
                </c:pt>
                <c:pt idx="45">
                  <c:v>18400</c:v>
                </c:pt>
                <c:pt idx="46">
                  <c:v>14200</c:v>
                </c:pt>
                <c:pt idx="47">
                  <c:v>16700</c:v>
                </c:pt>
                <c:pt idx="48">
                  <c:v>4060</c:v>
                </c:pt>
                <c:pt idx="49">
                  <c:v>3940</c:v>
                </c:pt>
                <c:pt idx="50">
                  <c:v>4300</c:v>
                </c:pt>
                <c:pt idx="51">
                  <c:v>3710</c:v>
                </c:pt>
                <c:pt idx="52">
                  <c:v>3720</c:v>
                </c:pt>
                <c:pt idx="53">
                  <c:v>3720</c:v>
                </c:pt>
                <c:pt idx="54">
                  <c:v>4160</c:v>
                </c:pt>
                <c:pt idx="55">
                  <c:v>8790</c:v>
                </c:pt>
                <c:pt idx="56">
                  <c:v>5250</c:v>
                </c:pt>
                <c:pt idx="57">
                  <c:v>40800</c:v>
                </c:pt>
                <c:pt idx="58">
                  <c:v>33300</c:v>
                </c:pt>
                <c:pt idx="59">
                  <c:v>5700</c:v>
                </c:pt>
                <c:pt idx="60">
                  <c:v>37800</c:v>
                </c:pt>
                <c:pt idx="61">
                  <c:v>31000</c:v>
                </c:pt>
                <c:pt idx="62">
                  <c:v>7470</c:v>
                </c:pt>
                <c:pt idx="63">
                  <c:v>4610</c:v>
                </c:pt>
                <c:pt idx="64">
                  <c:v>10300</c:v>
                </c:pt>
                <c:pt idx="65">
                  <c:v>16100</c:v>
                </c:pt>
                <c:pt idx="66">
                  <c:v>10100</c:v>
                </c:pt>
                <c:pt idx="67">
                  <c:v>5310</c:v>
                </c:pt>
                <c:pt idx="68">
                  <c:v>17200</c:v>
                </c:pt>
                <c:pt idx="69">
                  <c:v>7950</c:v>
                </c:pt>
                <c:pt idx="70">
                  <c:v>15300</c:v>
                </c:pt>
                <c:pt idx="71">
                  <c:v>5340</c:v>
                </c:pt>
                <c:pt idx="72">
                  <c:v>8310</c:v>
                </c:pt>
                <c:pt idx="73">
                  <c:v>16800</c:v>
                </c:pt>
                <c:pt idx="74">
                  <c:v>13000</c:v>
                </c:pt>
                <c:pt idx="75">
                  <c:v>29400</c:v>
                </c:pt>
                <c:pt idx="76">
                  <c:v>11700</c:v>
                </c:pt>
                <c:pt idx="77">
                  <c:v>34300</c:v>
                </c:pt>
                <c:pt idx="78">
                  <c:v>6880</c:v>
                </c:pt>
                <c:pt idx="79">
                  <c:v>17200</c:v>
                </c:pt>
                <c:pt idx="80">
                  <c:v>5170</c:v>
                </c:pt>
                <c:pt idx="81">
                  <c:v>27100</c:v>
                </c:pt>
                <c:pt idx="82">
                  <c:v>22500</c:v>
                </c:pt>
                <c:pt idx="83">
                  <c:v>8440</c:v>
                </c:pt>
                <c:pt idx="84">
                  <c:v>4700</c:v>
                </c:pt>
                <c:pt idx="85">
                  <c:v>11600</c:v>
                </c:pt>
                <c:pt idx="86">
                  <c:v>12600</c:v>
                </c:pt>
                <c:pt idx="87">
                  <c:v>38300</c:v>
                </c:pt>
                <c:pt idx="88">
                  <c:v>5230</c:v>
                </c:pt>
                <c:pt idx="89">
                  <c:v>11400</c:v>
                </c:pt>
                <c:pt idx="90">
                  <c:v>6590</c:v>
                </c:pt>
                <c:pt idx="91">
                  <c:v>13700</c:v>
                </c:pt>
                <c:pt idx="92">
                  <c:v>38700</c:v>
                </c:pt>
                <c:pt idx="93">
                  <c:v>8540</c:v>
                </c:pt>
                <c:pt idx="94">
                  <c:v>9120</c:v>
                </c:pt>
                <c:pt idx="95">
                  <c:v>24000</c:v>
                </c:pt>
                <c:pt idx="96">
                  <c:v>7380</c:v>
                </c:pt>
                <c:pt idx="97">
                  <c:v>31000</c:v>
                </c:pt>
                <c:pt idx="98">
                  <c:v>12700</c:v>
                </c:pt>
                <c:pt idx="99">
                  <c:v>39400</c:v>
                </c:pt>
                <c:pt idx="100">
                  <c:v>6290</c:v>
                </c:pt>
                <c:pt idx="101">
                  <c:v>15600</c:v>
                </c:pt>
                <c:pt idx="102">
                  <c:v>34900</c:v>
                </c:pt>
                <c:pt idx="103">
                  <c:v>12200</c:v>
                </c:pt>
                <c:pt idx="104">
                  <c:v>26600</c:v>
                </c:pt>
                <c:pt idx="105">
                  <c:v>38000</c:v>
                </c:pt>
                <c:pt idx="106">
                  <c:v>11700</c:v>
                </c:pt>
                <c:pt idx="107">
                  <c:v>28700</c:v>
                </c:pt>
                <c:pt idx="108">
                  <c:v>3970</c:v>
                </c:pt>
                <c:pt idx="109">
                  <c:v>7180</c:v>
                </c:pt>
                <c:pt idx="110">
                  <c:v>37700</c:v>
                </c:pt>
              </c:numCache>
            </c:numRef>
          </c:yVal>
          <c:smooth val="0"/>
        </c:ser>
        <c:dLbls>
          <c:showLegendKey val="0"/>
          <c:showVal val="0"/>
          <c:showCatName val="0"/>
          <c:showSerName val="0"/>
          <c:showPercent val="0"/>
          <c:showBubbleSize val="0"/>
        </c:dLbls>
        <c:axId val="24720896"/>
        <c:axId val="24722432"/>
      </c:scatterChart>
      <c:valAx>
        <c:axId val="24720896"/>
        <c:scaling>
          <c:orientation val="minMax"/>
          <c:max val="2020"/>
          <c:min val="1900"/>
        </c:scaling>
        <c:delete val="0"/>
        <c:axPos val="b"/>
        <c:numFmt formatCode="0" sourceLinked="1"/>
        <c:majorTickMark val="out"/>
        <c:minorTickMark val="none"/>
        <c:tickLblPos val="nextTo"/>
        <c:crossAx val="24722432"/>
        <c:crosses val="autoZero"/>
        <c:crossBetween val="midCat"/>
      </c:valAx>
      <c:valAx>
        <c:axId val="24722432"/>
        <c:scaling>
          <c:orientation val="minMax"/>
        </c:scaling>
        <c:delete val="0"/>
        <c:axPos val="l"/>
        <c:majorGridlines/>
        <c:numFmt formatCode="General" sourceLinked="1"/>
        <c:majorTickMark val="out"/>
        <c:minorTickMark val="none"/>
        <c:tickLblPos val="nextTo"/>
        <c:crossAx val="24720896"/>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CE 374K Hydrology</vt:lpstr>
    </vt:vector>
  </TitlesOfParts>
  <Company>ut austin</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374K Hydrology</dc:title>
  <dc:creator>maidment</dc:creator>
  <cp:lastModifiedBy>Maidment</cp:lastModifiedBy>
  <cp:revision>2</cp:revision>
  <cp:lastPrinted>2002-03-28T13:57:00Z</cp:lastPrinted>
  <dcterms:created xsi:type="dcterms:W3CDTF">2012-03-25T19:31:00Z</dcterms:created>
  <dcterms:modified xsi:type="dcterms:W3CDTF">2012-03-25T19:31:00Z</dcterms:modified>
</cp:coreProperties>
</file>