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9D" w:rsidRPr="00C94970" w:rsidRDefault="00C94970" w:rsidP="00C94970">
      <w:pPr>
        <w:spacing w:after="0"/>
        <w:rPr>
          <w:b/>
        </w:rPr>
      </w:pPr>
      <w:r w:rsidRPr="00C94970">
        <w:rPr>
          <w:b/>
        </w:rPr>
        <w:t>Homework 1 Solution</w:t>
      </w:r>
      <w:r w:rsidRPr="00C94970">
        <w:rPr>
          <w:b/>
        </w:rPr>
        <w:tab/>
        <w:t>CE374K Hydrology</w:t>
      </w:r>
      <w:r w:rsidRPr="00C94970">
        <w:rPr>
          <w:b/>
        </w:rPr>
        <w:tab/>
        <w:t>Spring 2013</w:t>
      </w:r>
    </w:p>
    <w:p w:rsidR="00C94970" w:rsidRDefault="00C94970">
      <w:r>
        <w:t>Prepared by Gonzalo E. Espinoza</w:t>
      </w:r>
    </w:p>
    <w:p w:rsidR="00BA70BA" w:rsidRDefault="00E16993" w:rsidP="00BA70BA">
      <w:pPr>
        <w:rPr>
          <w:rFonts w:eastAsiaTheme="minorEastAsia"/>
          <w:b/>
        </w:rPr>
      </w:pPr>
      <w:r w:rsidRPr="00180FD5">
        <w:rPr>
          <w:rFonts w:eastAsiaTheme="minorEastAsia"/>
          <w:b/>
        </w:rPr>
        <w:t>Question 1</w:t>
      </w:r>
    </w:p>
    <w:p w:rsidR="00E16993" w:rsidRDefault="00E16993" w:rsidP="00BA70BA">
      <w:r w:rsidRPr="003B022A">
        <w:rPr>
          <w:rFonts w:eastAsiaTheme="minorEastAsia"/>
          <w:b/>
        </w:rPr>
        <w:t xml:space="preserve">The </w:t>
      </w:r>
      <w:r>
        <w:rPr>
          <w:rFonts w:eastAsiaTheme="minorEastAsia"/>
          <w:b/>
        </w:rPr>
        <w:t>p</w:t>
      </w:r>
      <w:r w:rsidRPr="003B022A">
        <w:rPr>
          <w:rFonts w:eastAsiaTheme="minorEastAsia"/>
          <w:b/>
        </w:rPr>
        <w:t xml:space="preserve">recipitation and </w:t>
      </w:r>
      <w:proofErr w:type="spellStart"/>
      <w:r w:rsidRPr="003B022A">
        <w:rPr>
          <w:rFonts w:eastAsiaTheme="minorEastAsia"/>
          <w:b/>
        </w:rPr>
        <w:t>streamflow</w:t>
      </w:r>
      <w:proofErr w:type="spellEnd"/>
      <w:r w:rsidRPr="003B022A">
        <w:rPr>
          <w:rFonts w:eastAsiaTheme="minorEastAsia"/>
          <w:b/>
        </w:rPr>
        <w:t xml:space="preserve"> for </w:t>
      </w:r>
      <w:r>
        <w:rPr>
          <w:rFonts w:eastAsiaTheme="minorEastAsia"/>
          <w:b/>
        </w:rPr>
        <w:t>a heavy rainfall on</w:t>
      </w:r>
      <w:r w:rsidRPr="003B022A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January 8-9</w:t>
      </w:r>
      <w:r w:rsidRPr="003B022A">
        <w:rPr>
          <w:rFonts w:eastAsiaTheme="minorEastAsia"/>
          <w:b/>
        </w:rPr>
        <w:t xml:space="preserve">, </w:t>
      </w:r>
      <w:r>
        <w:rPr>
          <w:rFonts w:eastAsiaTheme="minorEastAsia"/>
          <w:b/>
        </w:rPr>
        <w:t>2013</w:t>
      </w:r>
      <w:r w:rsidRPr="003B022A">
        <w:rPr>
          <w:rFonts w:eastAsiaTheme="minorEastAsia"/>
          <w:b/>
        </w:rPr>
        <w:t xml:space="preserve">, on Shoal Creek at </w:t>
      </w:r>
      <w:r>
        <w:rPr>
          <w:rFonts w:eastAsiaTheme="minorEastAsia"/>
          <w:b/>
        </w:rPr>
        <w:t xml:space="preserve">West 12thSt </w:t>
      </w:r>
      <w:r w:rsidRPr="003B022A">
        <w:rPr>
          <w:rFonts w:eastAsiaTheme="minorEastAsia"/>
          <w:b/>
        </w:rPr>
        <w:t xml:space="preserve">in Austin, Texas, are shown below. Calculate the time distribution of storage on the watershed assuming that the initial storage is 0. Compute the total depth of precipitation and the equivalent depth of </w:t>
      </w:r>
      <w:proofErr w:type="spellStart"/>
      <w:r w:rsidRPr="003B022A">
        <w:rPr>
          <w:rFonts w:eastAsiaTheme="minorEastAsia"/>
          <w:b/>
        </w:rPr>
        <w:t>streamflow</w:t>
      </w:r>
      <w:proofErr w:type="spellEnd"/>
      <w:r w:rsidRPr="003B022A">
        <w:rPr>
          <w:rFonts w:eastAsiaTheme="minorEastAsia"/>
          <w:b/>
        </w:rPr>
        <w:t xml:space="preserve"> which occurred during the period</w:t>
      </w:r>
      <w:r>
        <w:rPr>
          <w:rFonts w:eastAsiaTheme="minorEastAsia"/>
          <w:b/>
        </w:rPr>
        <w:t xml:space="preserve"> of the data given</w:t>
      </w:r>
      <w:r w:rsidRPr="003B022A">
        <w:rPr>
          <w:rFonts w:eastAsiaTheme="minorEastAsia"/>
          <w:b/>
        </w:rPr>
        <w:t>. How much storage</w:t>
      </w:r>
      <w:r>
        <w:rPr>
          <w:rFonts w:eastAsiaTheme="minorEastAsia"/>
          <w:b/>
        </w:rPr>
        <w:t xml:space="preserve"> (inches)</w:t>
      </w:r>
      <w:r w:rsidRPr="003B022A">
        <w:rPr>
          <w:rFonts w:eastAsiaTheme="minorEastAsia"/>
          <w:b/>
        </w:rPr>
        <w:t xml:space="preserve"> remained in the watershed at the end of the period? What percent of the precipitation appeared as </w:t>
      </w:r>
      <w:proofErr w:type="spellStart"/>
      <w:r w:rsidRPr="003B022A">
        <w:rPr>
          <w:rFonts w:eastAsiaTheme="minorEastAsia"/>
          <w:b/>
        </w:rPr>
        <w:t>streamflow</w:t>
      </w:r>
      <w:proofErr w:type="spellEnd"/>
      <w:r w:rsidRPr="003B022A">
        <w:rPr>
          <w:rFonts w:eastAsiaTheme="minorEastAsia"/>
          <w:b/>
        </w:rPr>
        <w:t xml:space="preserve"> during this period? What was the maximum storage</w:t>
      </w:r>
      <w:r>
        <w:rPr>
          <w:rFonts w:eastAsiaTheme="minorEastAsia"/>
          <w:b/>
        </w:rPr>
        <w:t xml:space="preserve"> (inches)</w:t>
      </w:r>
      <w:r w:rsidRPr="003B022A">
        <w:rPr>
          <w:rFonts w:eastAsiaTheme="minorEastAsia"/>
          <w:b/>
        </w:rPr>
        <w:t xml:space="preserve">? Plot the time distribution of incremental precipitation, </w:t>
      </w:r>
      <w:proofErr w:type="spellStart"/>
      <w:r w:rsidRPr="003B022A">
        <w:rPr>
          <w:rFonts w:eastAsiaTheme="minorEastAsia"/>
          <w:b/>
        </w:rPr>
        <w:t>streamflow</w:t>
      </w:r>
      <w:proofErr w:type="spellEnd"/>
      <w:r w:rsidRPr="003B022A">
        <w:rPr>
          <w:rFonts w:eastAsiaTheme="minorEastAsia"/>
          <w:b/>
        </w:rPr>
        <w:t>, change in storage, and cumulative sto</w:t>
      </w:r>
      <w:r>
        <w:rPr>
          <w:rFonts w:eastAsiaTheme="minorEastAsia"/>
          <w:b/>
        </w:rPr>
        <w:t xml:space="preserve">rage. The watershed area is 12.3 </w:t>
      </w:r>
      <w:r w:rsidRPr="003B022A">
        <w:rPr>
          <w:rFonts w:eastAsiaTheme="minorEastAsia"/>
          <w:b/>
        </w:rPr>
        <w:t>mi</w:t>
      </w:r>
      <w:r w:rsidRPr="003B022A">
        <w:rPr>
          <w:rFonts w:eastAsiaTheme="minorEastAsia"/>
          <w:b/>
          <w:vertAlign w:val="superscript"/>
        </w:rPr>
        <w:t>2</w:t>
      </w:r>
      <w:r w:rsidRPr="003B022A">
        <w:rPr>
          <w:rFonts w:eastAsiaTheme="minorEastAsia"/>
          <w:b/>
        </w:rPr>
        <w:t>.</w:t>
      </w:r>
    </w:p>
    <w:p w:rsidR="00E16993" w:rsidRDefault="00E16993" w:rsidP="00E16993">
      <w:r>
        <w:rPr>
          <w:noProof/>
        </w:rPr>
        <w:drawing>
          <wp:inline distT="0" distB="0" distL="0" distR="0" wp14:anchorId="2D4399DD" wp14:editId="15728B1B">
            <wp:extent cx="5625171" cy="36671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413" cy="369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4F39C9" wp14:editId="0868CFF4">
            <wp:extent cx="5505450" cy="197522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65" cy="19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993" w:rsidRDefault="00E16993" w:rsidP="00E16993">
      <w:r>
        <w:rPr>
          <w:noProof/>
        </w:rPr>
        <w:lastRenderedPageBreak/>
        <w:drawing>
          <wp:inline distT="0" distB="0" distL="0" distR="0" wp14:anchorId="37FE87C0" wp14:editId="3AAAAEDC">
            <wp:extent cx="4953000" cy="775202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22" cy="775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70" w:rsidRDefault="00E16993" w:rsidP="00E16993">
      <w:r>
        <w:t>Watershed of Shoal Creek at West 12</w:t>
      </w:r>
      <w:r w:rsidRPr="004C3D48">
        <w:rPr>
          <w:vertAlign w:val="superscript"/>
        </w:rPr>
        <w:t>th</w:t>
      </w:r>
      <w:r>
        <w:t xml:space="preserve"> St in Austin, Texas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2"/>
        <w:gridCol w:w="1099"/>
        <w:gridCol w:w="1167"/>
        <w:gridCol w:w="1207"/>
        <w:gridCol w:w="1347"/>
        <w:gridCol w:w="1190"/>
        <w:gridCol w:w="1190"/>
        <w:gridCol w:w="1184"/>
      </w:tblGrid>
      <w:tr w:rsidR="00753993" w:rsidTr="00753993">
        <w:tc>
          <w:tcPr>
            <w:tcW w:w="1197" w:type="dxa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Local Date Time</w:t>
            </w:r>
          </w:p>
        </w:tc>
        <w:tc>
          <w:tcPr>
            <w:tcW w:w="1197" w:type="dxa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Time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(h)</w:t>
            </w:r>
          </w:p>
        </w:tc>
        <w:tc>
          <w:tcPr>
            <w:tcW w:w="1197" w:type="dxa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Time Increment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Δt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(h)</w:t>
            </w:r>
          </w:p>
        </w:tc>
        <w:tc>
          <w:tcPr>
            <w:tcW w:w="1197" w:type="dxa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Incremental Precipitation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(in)</w:t>
            </w:r>
          </w:p>
        </w:tc>
        <w:tc>
          <w:tcPr>
            <w:tcW w:w="1197" w:type="dxa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Instantaneous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Streamflow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Q(t)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cfs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97" w:type="dxa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Incremental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streamflow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Qj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(in)</w:t>
            </w:r>
          </w:p>
        </w:tc>
        <w:tc>
          <w:tcPr>
            <w:tcW w:w="1197" w:type="dxa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Incremental Storage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ΔSj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(in)</w:t>
            </w:r>
          </w:p>
        </w:tc>
        <w:tc>
          <w:tcPr>
            <w:tcW w:w="1197" w:type="dxa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Cumulative Storage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(in)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1/8/2013 22:00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1/8/2013 23:00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0:00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0.0695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0.069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0.3084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0.378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2:00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0.3170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0.695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3:00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0.029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0.2508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0.945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4:00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0.1687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1.114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5:00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0.044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0.0662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1.180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6:00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0.0366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1.217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7:00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0.1354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1.352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8:00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0.0787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1.431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9:00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0.0076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1.438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10:00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0.0089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1.447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11:00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-0.0052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1.442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12:00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0.0071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1.449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13:00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1.448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14:00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0.008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-0.0081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1.440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15:00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-0.0061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1.434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16:00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-0.0051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1.429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17:00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-0.0042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1.425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18:00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1.421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19:00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-0.0031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1.418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1/9/2013 </w:t>
            </w:r>
            <w:r>
              <w:rPr>
                <w:rFonts w:ascii="Calibri" w:hAnsi="Calibri" w:cs="Calibri"/>
                <w:color w:val="000000"/>
              </w:rPr>
              <w:lastRenderedPageBreak/>
              <w:t>20:00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1.415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1/9/2013 21:00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1.413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22:00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-0.0021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1.411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1/9/2013 23:00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-0.0019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1.409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0:00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1.407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1.406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2:00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1.404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3:00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1.403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4:00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1.402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5:00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-0.0010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1.401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6:00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-0.0009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1.400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7:00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-0.0008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1.399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8:00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1.398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9:00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1.398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10:00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1.397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11:00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-0.0006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1.396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12:00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1.396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13:00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1.395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14:00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1.395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15:00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1.395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16:00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1.394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17:00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1.394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18:00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1.393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19:00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1.393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1/10/2013 20:00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1.393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21:00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1.392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22:00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-0.0003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1.392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1/10/2013 23:00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1.392</w:t>
            </w:r>
          </w:p>
        </w:tc>
      </w:tr>
      <w:tr w:rsidR="00753993" w:rsidTr="00AF0472">
        <w:tc>
          <w:tcPr>
            <w:tcW w:w="1197" w:type="dxa"/>
            <w:vAlign w:val="center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1/11/2013 0:00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0.000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-0.0002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1.392</w:t>
            </w:r>
          </w:p>
        </w:tc>
      </w:tr>
      <w:tr w:rsidR="00753993" w:rsidTr="00AF0472">
        <w:tc>
          <w:tcPr>
            <w:tcW w:w="1197" w:type="dxa"/>
            <w:vAlign w:val="bottom"/>
          </w:tcPr>
          <w:p w:rsidR="00753993" w:rsidRDefault="007539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vAlign w:val="bottom"/>
          </w:tcPr>
          <w:p w:rsidR="00753993" w:rsidRDefault="007539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∑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vAlign w:val="bottom"/>
          </w:tcPr>
          <w:p w:rsidR="00753993" w:rsidRDefault="0075399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0.35</w:t>
            </w:r>
          </w:p>
        </w:tc>
        <w:tc>
          <w:tcPr>
            <w:tcW w:w="1197" w:type="dxa"/>
            <w:vAlign w:val="bottom"/>
          </w:tcPr>
          <w:p w:rsidR="00753993" w:rsidRDefault="0075399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7" w:type="dxa"/>
            <w:vAlign w:val="bottom"/>
          </w:tcPr>
          <w:p w:rsidR="00753993" w:rsidRDefault="0075399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F3526" w:rsidRDefault="003F3526"/>
    <w:p w:rsidR="003F3526" w:rsidRDefault="003F3526">
      <w:r>
        <w:t>The total depth of precipitation was 1.75in</w:t>
      </w:r>
    </w:p>
    <w:p w:rsidR="00E16993" w:rsidRDefault="003F3526">
      <w:r>
        <w:t xml:space="preserve">The equivalent depth of </w:t>
      </w:r>
      <w:proofErr w:type="spellStart"/>
      <w:r>
        <w:t>streamflow</w:t>
      </w:r>
      <w:proofErr w:type="spellEnd"/>
      <w:r>
        <w:t xml:space="preserve"> during the period was 0.3</w:t>
      </w:r>
      <w:r w:rsidR="00753993">
        <w:t>5</w:t>
      </w:r>
      <w:r>
        <w:t>in</w:t>
      </w:r>
    </w:p>
    <w:p w:rsidR="003F3526" w:rsidRDefault="003F3526">
      <w:r>
        <w:t>The storage remained at the end of the period was 1.</w:t>
      </w:r>
      <w:r w:rsidR="00753993">
        <w:t>39</w:t>
      </w:r>
      <w:r>
        <w:t>in</w:t>
      </w:r>
    </w:p>
    <w:p w:rsidR="003F3526" w:rsidRDefault="003F3526">
      <w:pPr>
        <w:rPr>
          <w:rFonts w:eastAsiaTheme="minorEastAsia"/>
        </w:rPr>
      </w:pPr>
      <w:r>
        <w:t xml:space="preserve">The percentage of precipitation that appeared as </w:t>
      </w:r>
      <w:proofErr w:type="spellStart"/>
      <w:r>
        <w:t>streamflow</w:t>
      </w:r>
      <w:proofErr w:type="spellEnd"/>
      <w:r>
        <w:t xml:space="preserve"> was </w:t>
      </w:r>
      <m:oMath>
        <m:r>
          <w:rPr>
            <w:rFonts w:ascii="Cambria Math" w:hAnsi="Cambria Math"/>
          </w:rPr>
          <m:t>0.3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/1.75=</m:t>
        </m:r>
        <m: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%</m:t>
        </m:r>
      </m:oMath>
    </w:p>
    <w:p w:rsidR="003F3526" w:rsidRDefault="003F3526">
      <w:pPr>
        <w:rPr>
          <w:rFonts w:eastAsiaTheme="minorEastAsia"/>
        </w:rPr>
      </w:pPr>
      <w:r>
        <w:rPr>
          <w:rFonts w:eastAsiaTheme="minorEastAsia"/>
        </w:rPr>
        <w:t>The maximum storage was 1.45in</w:t>
      </w:r>
    </w:p>
    <w:p w:rsidR="00753993" w:rsidRDefault="00753993">
      <w:r>
        <w:rPr>
          <w:noProof/>
        </w:rPr>
        <w:drawing>
          <wp:inline distT="0" distB="0" distL="0" distR="0" wp14:anchorId="741F41BD" wp14:editId="6E4ABE1E">
            <wp:extent cx="5943600" cy="4314190"/>
            <wp:effectExtent l="0" t="0" r="19050" b="101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3993" w:rsidRDefault="00753993" w:rsidP="00A45DB4">
      <w:r>
        <w:rPr>
          <w:noProof/>
        </w:rPr>
        <w:lastRenderedPageBreak/>
        <w:drawing>
          <wp:inline distT="0" distB="0" distL="0" distR="0" wp14:anchorId="14793DD7" wp14:editId="715CD3DC">
            <wp:extent cx="5943600" cy="3895725"/>
            <wp:effectExtent l="0" t="0" r="1905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3993" w:rsidRDefault="00753993" w:rsidP="00A45DB4"/>
    <w:p w:rsidR="00753993" w:rsidRDefault="00753993" w:rsidP="00A45DB4">
      <w:bookmarkStart w:id="0" w:name="_GoBack"/>
      <w:r>
        <w:rPr>
          <w:noProof/>
        </w:rPr>
        <w:drawing>
          <wp:inline distT="0" distB="0" distL="0" distR="0" wp14:anchorId="1BF0AB43" wp14:editId="230621A0">
            <wp:extent cx="5943600" cy="3590925"/>
            <wp:effectExtent l="0" t="0" r="1905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A45DB4" w:rsidRPr="0081123F" w:rsidRDefault="00A45DB4" w:rsidP="00A45DB4">
      <w:pPr>
        <w:rPr>
          <w:b/>
        </w:rPr>
      </w:pPr>
      <w:r w:rsidRPr="0081123F">
        <w:rPr>
          <w:b/>
        </w:rPr>
        <w:lastRenderedPageBreak/>
        <w:t>Question 2</w:t>
      </w:r>
    </w:p>
    <w:p w:rsidR="00A45DB4" w:rsidRPr="00A45DB4" w:rsidRDefault="00A45DB4" w:rsidP="00A86FD0">
      <w:pPr>
        <w:jc w:val="both"/>
        <w:rPr>
          <w:rFonts w:eastAsiaTheme="minorEastAsia"/>
          <w:b/>
        </w:rPr>
      </w:pPr>
      <w:r w:rsidRPr="00A45DB4">
        <w:rPr>
          <w:b/>
        </w:rPr>
        <w:t xml:space="preserve">Calculate the velocity and flow rate of a uniform flow 4 </w:t>
      </w:r>
      <w:proofErr w:type="spellStart"/>
      <w:r w:rsidRPr="00A45DB4">
        <w:rPr>
          <w:b/>
        </w:rPr>
        <w:t>ft</w:t>
      </w:r>
      <w:proofErr w:type="spellEnd"/>
      <w:r w:rsidRPr="00A45DB4">
        <w:rPr>
          <w:b/>
        </w:rPr>
        <w:t xml:space="preserve"> deep in a 200-ft-wide stream with approximately rectangular cross section, bed slope 1 percent, and Manning’s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A45DB4">
        <w:rPr>
          <w:rFonts w:eastAsiaTheme="minorEastAsia"/>
          <w:b/>
        </w:rPr>
        <w:t xml:space="preserve"> of 0.045. Check that the criterion for fully turbulent flow is satisfied.</w:t>
      </w:r>
    </w:p>
    <w:p w:rsidR="00BA70BA" w:rsidRDefault="00BA70BA" w:rsidP="00003AF6">
      <w:pPr>
        <w:spacing w:after="0" w:line="240" w:lineRule="auto"/>
        <w:sectPr w:rsidR="00BA70BA" w:rsidSect="00753993">
          <w:pgSz w:w="12240" w:h="15840"/>
          <w:pgMar w:top="1584" w:right="1440" w:bottom="1267" w:left="1440" w:header="720" w:footer="720" w:gutter="0"/>
          <w:cols w:space="720"/>
          <w:docGrid w:linePitch="360"/>
        </w:sectPr>
      </w:pPr>
    </w:p>
    <w:p w:rsidR="00332E32" w:rsidRDefault="00332E32" w:rsidP="00003AF6">
      <w:pPr>
        <w:spacing w:after="0" w:line="240" w:lineRule="auto"/>
      </w:pPr>
      <w:r>
        <w:lastRenderedPageBreak/>
        <w:t>Hydraulic Radius:</w:t>
      </w:r>
    </w:p>
    <w:p w:rsidR="00332E32" w:rsidRPr="00003AF6" w:rsidRDefault="00332E32" w:rsidP="00003AF6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200×4</m:t>
              </m:r>
            </m:num>
            <m:den>
              <m:r>
                <w:rPr>
                  <w:rFonts w:ascii="Cambria Math" w:hAnsi="Cambria Math"/>
                </w:rPr>
                <m:t>2×4+200</m:t>
              </m:r>
            </m:den>
          </m:f>
          <m:r>
            <w:rPr>
              <w:rFonts w:ascii="Cambria Math" w:eastAsiaTheme="minorEastAsia" w:hAnsi="Cambria Math"/>
            </w:rPr>
            <m:t>=3.846ft</m:t>
          </m:r>
        </m:oMath>
      </m:oMathPara>
    </w:p>
    <w:p w:rsidR="00003AF6" w:rsidRPr="00332E32" w:rsidRDefault="00003AF6" w:rsidP="00003AF6">
      <w:pPr>
        <w:spacing w:after="0" w:line="240" w:lineRule="auto"/>
      </w:pPr>
    </w:p>
    <w:p w:rsidR="00A45DB4" w:rsidRDefault="00A45DB4" w:rsidP="00003AF6">
      <w:pPr>
        <w:spacing w:after="0" w:line="240" w:lineRule="auto"/>
      </w:pPr>
      <w:r>
        <w:t>Velocity:</w:t>
      </w:r>
    </w:p>
    <w:p w:rsidR="00A45DB4" w:rsidRPr="00A45DB4" w:rsidRDefault="00A45DB4" w:rsidP="00003AF6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1.49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bSup>
        </m:oMath>
      </m:oMathPara>
    </w:p>
    <w:p w:rsidR="00332E32" w:rsidRPr="00A45DB4" w:rsidRDefault="00332E32" w:rsidP="00003AF6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1.49</m:t>
              </m:r>
            </m:num>
            <m:den>
              <m:r>
                <w:rPr>
                  <w:rFonts w:ascii="Cambria Math" w:hAnsi="Cambria Math"/>
                </w:rPr>
                <m:t>0.045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3.846</m:t>
                  </m:r>
                </m:e>
              </m:d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0.01</m:t>
                  </m:r>
                </m:e>
              </m:d>
            </m:e>
            <m:sup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</m:oMath>
      </m:oMathPara>
    </w:p>
    <w:p w:rsidR="00332E32" w:rsidRPr="00A45DB4" w:rsidRDefault="00332E32" w:rsidP="00003AF6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V=8.13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ft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A45DB4" w:rsidRDefault="00A45DB4" w:rsidP="00003AF6">
      <w:pPr>
        <w:spacing w:after="0" w:line="240" w:lineRule="auto"/>
      </w:pPr>
    </w:p>
    <w:p w:rsidR="00BA70BA" w:rsidRDefault="00BA70BA" w:rsidP="00003AF6">
      <w:pPr>
        <w:spacing w:after="0" w:line="240" w:lineRule="auto"/>
      </w:pPr>
    </w:p>
    <w:p w:rsidR="00332E32" w:rsidRPr="00A45DB4" w:rsidRDefault="00332E32" w:rsidP="00003AF6">
      <w:pPr>
        <w:spacing w:after="0" w:line="240" w:lineRule="auto"/>
      </w:pPr>
      <w:r>
        <w:lastRenderedPageBreak/>
        <w:t>Flow Rate:</w:t>
      </w:r>
      <w: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Q=AV</m:t>
          </m:r>
        </m:oMath>
      </m:oMathPara>
    </w:p>
    <w:p w:rsidR="00332E32" w:rsidRPr="00A45DB4" w:rsidRDefault="00332E32" w:rsidP="00003AF6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200×4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8.13</m:t>
              </m:r>
            </m:e>
          </m:d>
        </m:oMath>
      </m:oMathPara>
    </w:p>
    <w:p w:rsidR="00332E32" w:rsidRPr="00A45DB4" w:rsidRDefault="00332E32" w:rsidP="00003AF6">
      <w:pPr>
        <w:spacing w:after="0" w:line="240" w:lineRule="auto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Q=6,504cfs</m:t>
          </m:r>
        </m:oMath>
      </m:oMathPara>
    </w:p>
    <w:p w:rsidR="00332E32" w:rsidRDefault="00332E32" w:rsidP="00003AF6">
      <w:pPr>
        <w:spacing w:after="0" w:line="240" w:lineRule="auto"/>
      </w:pPr>
    </w:p>
    <w:p w:rsidR="00332E32" w:rsidRDefault="00332E32" w:rsidP="00003AF6">
      <w:pPr>
        <w:spacing w:after="0" w:line="240" w:lineRule="auto"/>
      </w:pPr>
      <w:r>
        <w:t>Criterion for fully turbulent flow:</w:t>
      </w:r>
    </w:p>
    <w:p w:rsidR="00332E32" w:rsidRPr="00332E32" w:rsidRDefault="00753993" w:rsidP="00003AF6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</m:ra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0.045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3.846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0.01</m:t>
                  </m:r>
                </m:e>
              </m:d>
            </m:e>
          </m:rad>
          <m:r>
            <w:rPr>
              <w:rFonts w:ascii="Cambria Math" w:hAnsi="Cambria Math"/>
            </w:rPr>
            <m:t>=1.63×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-9</m:t>
              </m:r>
            </m:sup>
          </m:sSup>
          <m:r>
            <w:rPr>
              <w:rFonts w:ascii="Cambria Math" w:hAnsi="Cambria Math"/>
            </w:rPr>
            <m:t>&gt;1.9×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-13</m:t>
              </m:r>
            </m:sup>
          </m:sSup>
        </m:oMath>
      </m:oMathPara>
    </w:p>
    <w:p w:rsidR="00332E32" w:rsidRPr="00332E32" w:rsidRDefault="00332E32" w:rsidP="00003AF6">
      <w:pPr>
        <w:spacing w:after="0" w:line="240" w:lineRule="auto"/>
      </w:pPr>
      <w:r>
        <w:rPr>
          <w:rFonts w:eastAsiaTheme="minorEastAsia"/>
        </w:rPr>
        <w:t>(The criterion for fully turbulent flow is satisfied)</w:t>
      </w:r>
    </w:p>
    <w:p w:rsidR="00BA70BA" w:rsidRDefault="00BA70BA">
      <w:pPr>
        <w:rPr>
          <w:rFonts w:eastAsiaTheme="minorEastAsia"/>
          <w:b/>
        </w:rPr>
        <w:sectPr w:rsidR="00BA70BA" w:rsidSect="00BA70BA">
          <w:type w:val="continuous"/>
          <w:pgSz w:w="12240" w:h="15840"/>
          <w:pgMar w:top="1440" w:right="1440" w:bottom="1260" w:left="1440" w:header="720" w:footer="720" w:gutter="0"/>
          <w:cols w:num="2" w:space="720"/>
          <w:docGrid w:linePitch="360"/>
        </w:sectPr>
      </w:pPr>
    </w:p>
    <w:p w:rsidR="00A86FD0" w:rsidRPr="0081123F" w:rsidRDefault="00A86FD0" w:rsidP="00A86FD0">
      <w:pPr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Question 3</w:t>
      </w:r>
    </w:p>
    <w:p w:rsidR="00A86FD0" w:rsidRPr="00A86FD0" w:rsidRDefault="00A86FD0" w:rsidP="00A86FD0">
      <w:pPr>
        <w:jc w:val="both"/>
        <w:rPr>
          <w:rFonts w:eastAsiaTheme="minorEastAsia"/>
          <w:b/>
        </w:rPr>
      </w:pPr>
      <w:r w:rsidRPr="00A86FD0">
        <w:rPr>
          <w:rFonts w:eastAsiaTheme="minorEastAsia"/>
          <w:b/>
        </w:rPr>
        <w:t xml:space="preserve">Compute the flow of water through a 20m long conduit filled with fine sand with hydraulic conductivity of 0.01 cm/sec under a </w:t>
      </w:r>
      <w:proofErr w:type="spellStart"/>
      <w:r w:rsidRPr="00A86FD0">
        <w:rPr>
          <w:rFonts w:eastAsiaTheme="minorEastAsia"/>
          <w:b/>
        </w:rPr>
        <w:t>piezometric</w:t>
      </w:r>
      <w:proofErr w:type="spellEnd"/>
      <w:r w:rsidRPr="00A86FD0">
        <w:rPr>
          <w:rFonts w:eastAsiaTheme="minorEastAsia"/>
          <w:b/>
        </w:rPr>
        <w:t xml:space="preserve"> head difference of 0.2m between the ends of the conduit.  The cross-sectional area of the conduit is 5.0 m</w:t>
      </w:r>
      <w:r w:rsidRPr="00A86FD0">
        <w:rPr>
          <w:rFonts w:eastAsiaTheme="minorEastAsia"/>
          <w:b/>
          <w:vertAlign w:val="superscript"/>
        </w:rPr>
        <w:t>2</w:t>
      </w:r>
      <w:r w:rsidRPr="00A86FD0">
        <w:rPr>
          <w:rFonts w:eastAsiaTheme="minorEastAsia"/>
          <w:b/>
        </w:rPr>
        <w:t>.</w:t>
      </w:r>
    </w:p>
    <w:p w:rsidR="00003AF6" w:rsidRPr="00003AF6" w:rsidRDefault="00753993" w:rsidP="00003AF6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0.2m</m:t>
              </m:r>
            </m:num>
            <m:den>
              <m:r>
                <w:rPr>
                  <w:rFonts w:ascii="Cambria Math" w:eastAsiaTheme="minorEastAsia" w:hAnsi="Cambria Math"/>
                </w:rPr>
                <m:t>20m</m:t>
              </m:r>
            </m:den>
          </m:f>
          <m:r>
            <w:rPr>
              <w:rFonts w:ascii="Cambria Math" w:eastAsiaTheme="minorEastAsia" w:hAnsi="Cambria Math"/>
            </w:rPr>
            <m:t>=0.01</m:t>
          </m:r>
        </m:oMath>
      </m:oMathPara>
    </w:p>
    <w:p w:rsidR="00003AF6" w:rsidRDefault="00003AF6" w:rsidP="00003AF6">
      <w:pPr>
        <w:spacing w:after="0" w:line="240" w:lineRule="auto"/>
      </w:pPr>
    </w:p>
    <w:p w:rsidR="00003AF6" w:rsidRDefault="00003AF6" w:rsidP="00003AF6">
      <w:pPr>
        <w:spacing w:after="0" w:line="240" w:lineRule="auto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Q=AK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:rsidR="00003AF6" w:rsidRDefault="00003AF6" w:rsidP="00003AF6">
      <w:pPr>
        <w:spacing w:after="0" w:line="240" w:lineRule="auto"/>
        <w:jc w:val="both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Q=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0.0001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0.01</m:t>
              </m:r>
            </m:e>
          </m:d>
        </m:oMath>
      </m:oMathPara>
    </w:p>
    <w:p w:rsidR="00003AF6" w:rsidRDefault="00003AF6" w:rsidP="00003AF6">
      <w:pPr>
        <w:spacing w:after="0" w:line="240" w:lineRule="auto"/>
        <w:jc w:val="both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Q=5×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003AF6" w:rsidRDefault="00003AF6" w:rsidP="00A45DB4"/>
    <w:p w:rsidR="00BA70BA" w:rsidRPr="00E304A8" w:rsidRDefault="00BA70BA" w:rsidP="00BA70BA">
      <w:pPr>
        <w:rPr>
          <w:b/>
        </w:rPr>
      </w:pPr>
      <w:r>
        <w:rPr>
          <w:b/>
        </w:rPr>
        <w:t>Question 4</w:t>
      </w:r>
    </w:p>
    <w:p w:rsidR="00BA70BA" w:rsidRPr="00BA70BA" w:rsidRDefault="00BA70BA" w:rsidP="00BA70BA">
      <w:pPr>
        <w:rPr>
          <w:rFonts w:eastAsiaTheme="minorEastAsia"/>
          <w:b/>
        </w:rPr>
      </w:pPr>
      <w:r w:rsidRPr="00BA70BA">
        <w:rPr>
          <w:b/>
        </w:rPr>
        <w:t>The incoming radiation to a lake is 100 W/m</w:t>
      </w:r>
      <w:r w:rsidRPr="00BA70BA">
        <w:rPr>
          <w:b/>
          <w:vertAlign w:val="superscript"/>
        </w:rPr>
        <w:t>2</w:t>
      </w:r>
      <w:r w:rsidRPr="00BA70BA">
        <w:rPr>
          <w:b/>
        </w:rPr>
        <w:t xml:space="preserve">.  Compute the net radiation if the albedo is </w:t>
      </w:r>
      <w:r w:rsidRPr="00BA70BA">
        <w:rPr>
          <w:rFonts w:ascii="Symbol" w:hAnsi="Symbol"/>
          <w:b/>
        </w:rPr>
        <w:t></w:t>
      </w:r>
      <w:r w:rsidRPr="00BA70BA">
        <w:rPr>
          <w:b/>
        </w:rPr>
        <w:t xml:space="preserve"> = 0.06, the surface temperature is </w:t>
      </w:r>
      <w:r w:rsidRPr="00BA70BA">
        <w:rPr>
          <w:rFonts w:eastAsiaTheme="minorEastAsia"/>
          <w:b/>
        </w:rPr>
        <w:t>20°C and the emissivity is 0.97.</w:t>
      </w:r>
    </w:p>
    <w:p w:rsidR="00003AF6" w:rsidRDefault="00003AF6" w:rsidP="00A45DB4"/>
    <w:p w:rsidR="00BA70BA" w:rsidRDefault="00BA70BA" w:rsidP="00BA70BA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T=20+273=293K</m:t>
          </m:r>
        </m:oMath>
      </m:oMathPara>
    </w:p>
    <w:p w:rsidR="00BA70BA" w:rsidRDefault="00BA70BA" w:rsidP="00BA70BA">
      <w:pPr>
        <w:spacing w:after="0" w:line="240" w:lineRule="auto"/>
        <w:jc w:val="both"/>
        <w:rPr>
          <w:rFonts w:eastAsiaTheme="minorEastAsia"/>
        </w:rPr>
      </w:pPr>
    </w:p>
    <w:p w:rsidR="00BA70BA" w:rsidRDefault="00753993" w:rsidP="00BA70BA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=eσ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:rsidR="00BA70BA" w:rsidRDefault="00753993" w:rsidP="00BA70BA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=0.97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5.67×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-8</m:t>
                  </m:r>
                </m:sup>
              </m:sSup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293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4</m:t>
              </m:r>
            </m:sup>
          </m:sSup>
        </m:oMath>
      </m:oMathPara>
    </w:p>
    <w:p w:rsidR="00BA70BA" w:rsidRDefault="00753993" w:rsidP="00BA70BA">
      <w:pPr>
        <w:spacing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=405.35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A70BA" w:rsidRDefault="00BA70BA" w:rsidP="00BA70BA">
      <w:pPr>
        <w:spacing w:after="0" w:line="240" w:lineRule="auto"/>
        <w:jc w:val="both"/>
      </w:pPr>
    </w:p>
    <w:p w:rsidR="00BA70BA" w:rsidRDefault="00753993" w:rsidP="00BA70BA">
      <w:pPr>
        <w:spacing w:after="0" w:line="24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α</m:t>
              </m: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</m:oMath>
      </m:oMathPara>
    </w:p>
    <w:p w:rsidR="00BA70BA" w:rsidRDefault="00753993" w:rsidP="00BA70BA">
      <w:pPr>
        <w:spacing w:after="0" w:line="240" w:lineRule="auto"/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=100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0.06</m:t>
              </m:r>
            </m:e>
          </m:d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405.35</m:t>
          </m:r>
        </m:oMath>
      </m:oMathPara>
    </w:p>
    <w:p w:rsidR="00BA70BA" w:rsidRDefault="00BA70BA" w:rsidP="00BA70BA">
      <w:pPr>
        <w:spacing w:after="0" w:line="240" w:lineRule="auto"/>
        <w:jc w:val="both"/>
      </w:pPr>
    </w:p>
    <w:p w:rsidR="00332E32" w:rsidRPr="00BA70BA" w:rsidRDefault="00753993" w:rsidP="00BA70BA">
      <w:pPr>
        <w:spacing w:after="0" w:line="240" w:lineRule="auto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=-311</m:t>
          </m:r>
          <m:f>
            <m:fPr>
              <m:type m:val="lin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sectPr w:rsidR="00332E32" w:rsidRPr="00BA70BA" w:rsidSect="00BA70BA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70"/>
    <w:rsid w:val="000037AB"/>
    <w:rsid w:val="00003AF6"/>
    <w:rsid w:val="00332E32"/>
    <w:rsid w:val="003F3526"/>
    <w:rsid w:val="00440BCA"/>
    <w:rsid w:val="00753993"/>
    <w:rsid w:val="008E7236"/>
    <w:rsid w:val="00A45DB4"/>
    <w:rsid w:val="00A86FD0"/>
    <w:rsid w:val="00BA70BA"/>
    <w:rsid w:val="00BC6C9D"/>
    <w:rsid w:val="00C94970"/>
    <w:rsid w:val="00E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45D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45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A%20Hydrology%20Spring%202013\Hmwk01_graph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A%20Hydrology%20Spring%202013\Hmwk01_graph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TA%20Hydrology%20Spring%202013\Hmwk01_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/>
            </a:pPr>
            <a:r>
              <a:rPr lang="en-US"/>
              <a:t>Incremental Precipitation and Streamflow</a:t>
            </a:r>
          </a:p>
        </c:rich>
      </c:tx>
      <c:layout>
        <c:manualLayout>
          <c:xMode val="edge"/>
          <c:yMode val="edge"/>
          <c:x val="0.51867974780719961"/>
          <c:y val="1.413592302171017E-2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Incremental Precipitation</c:v>
          </c:tx>
          <c:spPr>
            <a:solidFill>
              <a:schemeClr val="accent5">
                <a:lumMod val="75000"/>
              </a:schemeClr>
            </a:solidFill>
          </c:spPr>
          <c:invertIfNegative val="0"/>
          <c:cat>
            <c:numRef>
              <c:f>Table!$I$2:$I$52</c:f>
              <c:numCache>
                <c:formatCode>General</c:formatCode>
                <c:ptCount val="51"/>
                <c:pt idx="0" formatCode="0.0">
                  <c:v>0</c:v>
                </c:pt>
                <c:pt idx="5" formatCode="0.0">
                  <c:v>5</c:v>
                </c:pt>
                <c:pt idx="10" formatCode="0.0">
                  <c:v>10</c:v>
                </c:pt>
                <c:pt idx="15" formatCode="0.0">
                  <c:v>15</c:v>
                </c:pt>
                <c:pt idx="20" formatCode="0.0">
                  <c:v>20</c:v>
                </c:pt>
                <c:pt idx="25" formatCode="0.0">
                  <c:v>25</c:v>
                </c:pt>
                <c:pt idx="30" formatCode="0.0">
                  <c:v>30</c:v>
                </c:pt>
                <c:pt idx="35" formatCode="0.0">
                  <c:v>35</c:v>
                </c:pt>
                <c:pt idx="40" formatCode="0.0">
                  <c:v>40</c:v>
                </c:pt>
                <c:pt idx="45" formatCode="0.0">
                  <c:v>45</c:v>
                </c:pt>
                <c:pt idx="50" formatCode="0.0">
                  <c:v>50</c:v>
                </c:pt>
              </c:numCache>
            </c:numRef>
          </c:cat>
          <c:val>
            <c:numRef>
              <c:f>Table!$D$2:$D$52</c:f>
              <c:numCache>
                <c:formatCode>0.00</c:formatCode>
                <c:ptCount val="51"/>
                <c:pt idx="0">
                  <c:v>0.01</c:v>
                </c:pt>
                <c:pt idx="1">
                  <c:v>0</c:v>
                </c:pt>
                <c:pt idx="2">
                  <c:v>7.0000000000000007E-2</c:v>
                </c:pt>
                <c:pt idx="3">
                  <c:v>0.31</c:v>
                </c:pt>
                <c:pt idx="4">
                  <c:v>0.32</c:v>
                </c:pt>
                <c:pt idx="5">
                  <c:v>0.28000000000000003</c:v>
                </c:pt>
                <c:pt idx="6">
                  <c:v>0.22</c:v>
                </c:pt>
                <c:pt idx="7">
                  <c:v>0.11</c:v>
                </c:pt>
                <c:pt idx="8">
                  <c:v>7.0000000000000007E-2</c:v>
                </c:pt>
                <c:pt idx="9">
                  <c:v>0.16</c:v>
                </c:pt>
                <c:pt idx="10">
                  <c:v>0.1</c:v>
                </c:pt>
                <c:pt idx="11">
                  <c:v>0.03</c:v>
                </c:pt>
                <c:pt idx="12">
                  <c:v>0.03</c:v>
                </c:pt>
                <c:pt idx="13">
                  <c:v>0.01</c:v>
                </c:pt>
                <c:pt idx="14">
                  <c:v>0.02</c:v>
                </c:pt>
                <c:pt idx="15">
                  <c:v>0.01</c:v>
                </c:pt>
              </c:numCache>
            </c:numRef>
          </c:val>
        </c:ser>
        <c:ser>
          <c:idx val="1"/>
          <c:order val="1"/>
          <c:tx>
            <c:v>Incremental Streamflow</c:v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numRef>
              <c:f>Table!$I$2:$I$52</c:f>
              <c:numCache>
                <c:formatCode>General</c:formatCode>
                <c:ptCount val="51"/>
                <c:pt idx="0" formatCode="0.0">
                  <c:v>0</c:v>
                </c:pt>
                <c:pt idx="5" formatCode="0.0">
                  <c:v>5</c:v>
                </c:pt>
                <c:pt idx="10" formatCode="0.0">
                  <c:v>10</c:v>
                </c:pt>
                <c:pt idx="15" formatCode="0.0">
                  <c:v>15</c:v>
                </c:pt>
                <c:pt idx="20" formatCode="0.0">
                  <c:v>20</c:v>
                </c:pt>
                <c:pt idx="25" formatCode="0.0">
                  <c:v>25</c:v>
                </c:pt>
                <c:pt idx="30" formatCode="0.0">
                  <c:v>30</c:v>
                </c:pt>
                <c:pt idx="35" formatCode="0.0">
                  <c:v>35</c:v>
                </c:pt>
                <c:pt idx="40" formatCode="0.0">
                  <c:v>40</c:v>
                </c:pt>
                <c:pt idx="45" formatCode="0.0">
                  <c:v>45</c:v>
                </c:pt>
                <c:pt idx="50" formatCode="0.0">
                  <c:v>50</c:v>
                </c:pt>
              </c:numCache>
            </c:numRef>
          </c:cat>
          <c:val>
            <c:numRef>
              <c:f>Table!$F$2:$F$52</c:f>
              <c:numCache>
                <c:formatCode>0.000</c:formatCode>
                <c:ptCount val="51"/>
                <c:pt idx="1">
                  <c:v>3.2125579520258005E-4</c:v>
                </c:pt>
                <c:pt idx="2">
                  <c:v>4.5983672646643815E-4</c:v>
                </c:pt>
                <c:pt idx="3">
                  <c:v>1.6314755089699652E-3</c:v>
                </c:pt>
                <c:pt idx="4">
                  <c:v>2.9605926224551497E-3</c:v>
                </c:pt>
                <c:pt idx="5">
                  <c:v>2.9227978230195521E-2</c:v>
                </c:pt>
                <c:pt idx="6">
                  <c:v>5.133793590002015E-2</c:v>
                </c:pt>
                <c:pt idx="7">
                  <c:v>4.3841967345293283E-2</c:v>
                </c:pt>
                <c:pt idx="8">
                  <c:v>3.338540616811126E-2</c:v>
                </c:pt>
                <c:pt idx="9">
                  <c:v>2.4629610965531137E-2</c:v>
                </c:pt>
                <c:pt idx="10">
                  <c:v>2.1291070348720013E-2</c:v>
                </c:pt>
                <c:pt idx="11">
                  <c:v>2.2424914331787942E-2</c:v>
                </c:pt>
                <c:pt idx="12">
                  <c:v>2.1102096351542025E-2</c:v>
                </c:pt>
                <c:pt idx="13">
                  <c:v>1.5180911106631724E-2</c:v>
                </c:pt>
                <c:pt idx="14">
                  <c:v>1.2850231808103203E-2</c:v>
                </c:pt>
                <c:pt idx="15">
                  <c:v>1.1023483168715983E-2</c:v>
                </c:pt>
                <c:pt idx="16">
                  <c:v>8.0628905462608331E-3</c:v>
                </c:pt>
                <c:pt idx="17">
                  <c:v>6.1101592420882873E-3</c:v>
                </c:pt>
                <c:pt idx="18">
                  <c:v>5.1022979238056834E-3</c:v>
                </c:pt>
                <c:pt idx="19">
                  <c:v>4.2204192703084046E-3</c:v>
                </c:pt>
                <c:pt idx="20">
                  <c:v>3.6534972787744401E-3</c:v>
                </c:pt>
                <c:pt idx="21">
                  <c:v>3.1495666196331381E-3</c:v>
                </c:pt>
                <c:pt idx="22">
                  <c:v>2.7086272928844987E-3</c:v>
                </c:pt>
                <c:pt idx="23">
                  <c:v>2.3936706309211847E-3</c:v>
                </c:pt>
                <c:pt idx="24">
                  <c:v>2.1417053013505338E-3</c:v>
                </c:pt>
                <c:pt idx="25">
                  <c:v>1.8897399717798828E-3</c:v>
                </c:pt>
                <c:pt idx="26">
                  <c:v>1.6377746422092318E-3</c:v>
                </c:pt>
                <c:pt idx="27">
                  <c:v>1.5117919774239063E-3</c:v>
                </c:pt>
                <c:pt idx="28">
                  <c:v>1.4488006450312433E-3</c:v>
                </c:pt>
                <c:pt idx="29">
                  <c:v>1.297621447288853E-3</c:v>
                </c:pt>
                <c:pt idx="30">
                  <c:v>1.146442249546462E-3</c:v>
                </c:pt>
                <c:pt idx="31">
                  <c:v>1.0267587180004031E-3</c:v>
                </c:pt>
                <c:pt idx="32">
                  <c:v>9.196734529328764E-4</c:v>
                </c:pt>
                <c:pt idx="33">
                  <c:v>8.2518645434388228E-4</c:v>
                </c:pt>
                <c:pt idx="34">
                  <c:v>7.4959685547268688E-4</c:v>
                </c:pt>
                <c:pt idx="35">
                  <c:v>6.929046563192903E-4</c:v>
                </c:pt>
                <c:pt idx="36">
                  <c:v>6.2361419068736117E-4</c:v>
                </c:pt>
                <c:pt idx="37">
                  <c:v>5.7952025801249725E-4</c:v>
                </c:pt>
                <c:pt idx="38">
                  <c:v>5.4802459181616588E-4</c:v>
                </c:pt>
                <c:pt idx="39">
                  <c:v>4.9133239266276952E-4</c:v>
                </c:pt>
                <c:pt idx="40">
                  <c:v>4.5353759322717187E-4</c:v>
                </c:pt>
                <c:pt idx="41">
                  <c:v>4.4093932674863932E-4</c:v>
                </c:pt>
                <c:pt idx="42">
                  <c:v>4.346401935093731E-4</c:v>
                </c:pt>
                <c:pt idx="43">
                  <c:v>4.0314452731304173E-4</c:v>
                </c:pt>
                <c:pt idx="44">
                  <c:v>3.716488611167103E-4</c:v>
                </c:pt>
                <c:pt idx="45">
                  <c:v>3.338540616811126E-4</c:v>
                </c:pt>
                <c:pt idx="46">
                  <c:v>2.960592622455149E-4</c:v>
                </c:pt>
                <c:pt idx="47">
                  <c:v>2.8346099576698241E-4</c:v>
                </c:pt>
                <c:pt idx="48">
                  <c:v>2.5826446280991725E-4</c:v>
                </c:pt>
                <c:pt idx="49">
                  <c:v>2.3306792985285224E-4</c:v>
                </c:pt>
                <c:pt idx="50">
                  <c:v>2.2046966337431966E-4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396800"/>
        <c:axId val="94398720"/>
      </c:barChart>
      <c:catAx>
        <c:axId val="94396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(h)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94398720"/>
        <c:crosses val="autoZero"/>
        <c:auto val="1"/>
        <c:lblAlgn val="ctr"/>
        <c:lblOffset val="100"/>
        <c:noMultiLvlLbl val="0"/>
      </c:catAx>
      <c:valAx>
        <c:axId val="943987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Depth (in)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94396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688067807494916"/>
          <c:y val="0.37866750877969618"/>
          <c:w val="0.17633058183717271"/>
          <c:h val="7.3033906180085623E-2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/>
            </a:pPr>
            <a:r>
              <a:rPr lang="en-US"/>
              <a:t>Change in Storage</a:t>
            </a:r>
          </a:p>
        </c:rich>
      </c:tx>
      <c:layout>
        <c:manualLayout>
          <c:xMode val="edge"/>
          <c:yMode val="edge"/>
          <c:x val="0.7794121514264043"/>
          <c:y val="1.413592302171017E-2"/>
        </c:manualLayout>
      </c:layout>
      <c:overlay val="1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Incremental Storage</c:v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none"/>
          </c:marker>
          <c:xVal>
            <c:numRef>
              <c:f>Table!$B$2:$B$52</c:f>
              <c:numCache>
                <c:formatCode>0.0</c:formatCode>
                <c:ptCount val="5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</c:numCache>
            </c:numRef>
          </c:xVal>
          <c:yVal>
            <c:numRef>
              <c:f>Table!$G$2:$G$52</c:f>
              <c:numCache>
                <c:formatCode>0.0000</c:formatCode>
                <c:ptCount val="51"/>
                <c:pt idx="1">
                  <c:v>-3.2125579520258005E-4</c:v>
                </c:pt>
                <c:pt idx="2">
                  <c:v>6.9540163273533573E-2</c:v>
                </c:pt>
                <c:pt idx="3">
                  <c:v>0.30836852449103003</c:v>
                </c:pt>
                <c:pt idx="4">
                  <c:v>0.31703940737754488</c:v>
                </c:pt>
                <c:pt idx="5">
                  <c:v>0.25077202176980451</c:v>
                </c:pt>
                <c:pt idx="6">
                  <c:v>0.16866206409997986</c:v>
                </c:pt>
                <c:pt idx="7">
                  <c:v>6.6158032654706711E-2</c:v>
                </c:pt>
                <c:pt idx="8">
                  <c:v>3.6614593831888746E-2</c:v>
                </c:pt>
                <c:pt idx="9">
                  <c:v>0.13537038903446885</c:v>
                </c:pt>
                <c:pt idx="10">
                  <c:v>7.8708929651279985E-2</c:v>
                </c:pt>
                <c:pt idx="11">
                  <c:v>7.5750856682120574E-3</c:v>
                </c:pt>
                <c:pt idx="12">
                  <c:v>8.8979036484579735E-3</c:v>
                </c:pt>
                <c:pt idx="13">
                  <c:v>-5.1809111066317241E-3</c:v>
                </c:pt>
                <c:pt idx="14">
                  <c:v>7.1497681918967979E-3</c:v>
                </c:pt>
                <c:pt idx="15">
                  <c:v>-1.0234831687159825E-3</c:v>
                </c:pt>
                <c:pt idx="16">
                  <c:v>-8.0628905462608331E-3</c:v>
                </c:pt>
                <c:pt idx="17">
                  <c:v>-6.1101592420882873E-3</c:v>
                </c:pt>
                <c:pt idx="18">
                  <c:v>-5.1022979238056834E-3</c:v>
                </c:pt>
                <c:pt idx="19">
                  <c:v>-4.2204192703084046E-3</c:v>
                </c:pt>
                <c:pt idx="20">
                  <c:v>-3.6534972787744401E-3</c:v>
                </c:pt>
                <c:pt idx="21">
                  <c:v>-3.1495666196331381E-3</c:v>
                </c:pt>
                <c:pt idx="22">
                  <c:v>-2.7086272928844987E-3</c:v>
                </c:pt>
                <c:pt idx="23">
                  <c:v>-2.3936706309211847E-3</c:v>
                </c:pt>
                <c:pt idx="24">
                  <c:v>-2.1417053013505338E-3</c:v>
                </c:pt>
                <c:pt idx="25">
                  <c:v>-1.8897399717798828E-3</c:v>
                </c:pt>
                <c:pt idx="26">
                  <c:v>-1.6377746422092318E-3</c:v>
                </c:pt>
                <c:pt idx="27">
                  <c:v>-1.5117919774239063E-3</c:v>
                </c:pt>
                <c:pt idx="28">
                  <c:v>-1.4488006450312433E-3</c:v>
                </c:pt>
                <c:pt idx="29">
                  <c:v>-1.297621447288853E-3</c:v>
                </c:pt>
                <c:pt idx="30">
                  <c:v>-1.146442249546462E-3</c:v>
                </c:pt>
                <c:pt idx="31">
                  <c:v>-1.0267587180004031E-3</c:v>
                </c:pt>
                <c:pt idx="32">
                  <c:v>-9.196734529328764E-4</c:v>
                </c:pt>
                <c:pt idx="33">
                  <c:v>-8.2518645434388228E-4</c:v>
                </c:pt>
                <c:pt idx="34">
                  <c:v>-7.4959685547268688E-4</c:v>
                </c:pt>
                <c:pt idx="35">
                  <c:v>-6.929046563192903E-4</c:v>
                </c:pt>
                <c:pt idx="36">
                  <c:v>-6.2361419068736117E-4</c:v>
                </c:pt>
                <c:pt idx="37">
                  <c:v>-5.7952025801249725E-4</c:v>
                </c:pt>
                <c:pt idx="38">
                  <c:v>-5.4802459181616588E-4</c:v>
                </c:pt>
                <c:pt idx="39">
                  <c:v>-4.9133239266276952E-4</c:v>
                </c:pt>
                <c:pt idx="40">
                  <c:v>-4.5353759322717187E-4</c:v>
                </c:pt>
                <c:pt idx="41">
                  <c:v>-4.4093932674863932E-4</c:v>
                </c:pt>
                <c:pt idx="42">
                  <c:v>-4.346401935093731E-4</c:v>
                </c:pt>
                <c:pt idx="43">
                  <c:v>-4.0314452731304173E-4</c:v>
                </c:pt>
                <c:pt idx="44">
                  <c:v>-3.716488611167103E-4</c:v>
                </c:pt>
                <c:pt idx="45">
                  <c:v>-3.338540616811126E-4</c:v>
                </c:pt>
                <c:pt idx="46">
                  <c:v>-2.960592622455149E-4</c:v>
                </c:pt>
                <c:pt idx="47">
                  <c:v>-2.8346099576698241E-4</c:v>
                </c:pt>
                <c:pt idx="48">
                  <c:v>-2.5826446280991725E-4</c:v>
                </c:pt>
                <c:pt idx="49">
                  <c:v>-2.3306792985285224E-4</c:v>
                </c:pt>
                <c:pt idx="50">
                  <c:v>-2.2046966337431966E-4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411392"/>
        <c:axId val="94413568"/>
      </c:scatterChart>
      <c:valAx>
        <c:axId val="94411392"/>
        <c:scaling>
          <c:orientation val="minMax"/>
          <c:max val="5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(h)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94413568"/>
        <c:crossesAt val="0"/>
        <c:crossBetween val="midCat"/>
      </c:valAx>
      <c:valAx>
        <c:axId val="944135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Depth (in)</a:t>
                </a:r>
              </a:p>
            </c:rich>
          </c:tx>
          <c:overlay val="0"/>
        </c:title>
        <c:numFmt formatCode="0.0000" sourceLinked="1"/>
        <c:majorTickMark val="out"/>
        <c:minorTickMark val="none"/>
        <c:tickLblPos val="nextTo"/>
        <c:crossAx val="9441139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0688067807494928"/>
          <c:y val="0.37866750877969624"/>
          <c:w val="0.16482771288682863"/>
          <c:h val="3.6484749446857756E-2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/>
            </a:pPr>
            <a:r>
              <a:rPr lang="en-US"/>
              <a:t>Cumulative Storage</a:t>
            </a:r>
          </a:p>
        </c:rich>
      </c:tx>
      <c:layout>
        <c:manualLayout>
          <c:xMode val="edge"/>
          <c:yMode val="edge"/>
          <c:x val="0.76476426358262872"/>
          <c:y val="1.413592302171017E-2"/>
        </c:manualLayout>
      </c:layout>
      <c:overlay val="1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Cumulative Storage</c:v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xVal>
            <c:numRef>
              <c:f>Table!$B$2:$B$52</c:f>
              <c:numCache>
                <c:formatCode>0.0</c:formatCode>
                <c:ptCount val="5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  <c:pt idx="46">
                  <c:v>46</c:v>
                </c:pt>
                <c:pt idx="47">
                  <c:v>47</c:v>
                </c:pt>
                <c:pt idx="48">
                  <c:v>48</c:v>
                </c:pt>
                <c:pt idx="49">
                  <c:v>49</c:v>
                </c:pt>
                <c:pt idx="50">
                  <c:v>50</c:v>
                </c:pt>
              </c:numCache>
            </c:numRef>
          </c:xVal>
          <c:yVal>
            <c:numRef>
              <c:f>Table!$H$2:$H$52</c:f>
              <c:numCache>
                <c:formatCode>0.000</c:formatCode>
                <c:ptCount val="51"/>
                <c:pt idx="0">
                  <c:v>0</c:v>
                </c:pt>
                <c:pt idx="1">
                  <c:v>-3.2125579520258005E-4</c:v>
                </c:pt>
                <c:pt idx="2">
                  <c:v>6.9218907478330996E-2</c:v>
                </c:pt>
                <c:pt idx="3">
                  <c:v>0.37758743196936101</c:v>
                </c:pt>
                <c:pt idx="4">
                  <c:v>0.69462683934690594</c:v>
                </c:pt>
                <c:pt idx="5">
                  <c:v>0.94539886111671045</c:v>
                </c:pt>
                <c:pt idx="6">
                  <c:v>1.1140609252166902</c:v>
                </c:pt>
                <c:pt idx="7">
                  <c:v>1.1802189578713969</c:v>
                </c:pt>
                <c:pt idx="8">
                  <c:v>1.2168335517032856</c:v>
                </c:pt>
                <c:pt idx="9">
                  <c:v>1.3522039407377544</c:v>
                </c:pt>
                <c:pt idx="10">
                  <c:v>1.4309128703890344</c:v>
                </c:pt>
                <c:pt idx="11">
                  <c:v>1.4384879560572463</c:v>
                </c:pt>
                <c:pt idx="12">
                  <c:v>1.4473858597057043</c:v>
                </c:pt>
                <c:pt idx="13">
                  <c:v>1.4422049485990727</c:v>
                </c:pt>
                <c:pt idx="14">
                  <c:v>1.4493547167909695</c:v>
                </c:pt>
                <c:pt idx="15">
                  <c:v>1.4483312336222536</c:v>
                </c:pt>
                <c:pt idx="16">
                  <c:v>1.4402683430759928</c:v>
                </c:pt>
                <c:pt idx="17">
                  <c:v>1.4341581838339046</c:v>
                </c:pt>
                <c:pt idx="18">
                  <c:v>1.4290558859100988</c:v>
                </c:pt>
                <c:pt idx="19">
                  <c:v>1.4248354666397904</c:v>
                </c:pt>
                <c:pt idx="20">
                  <c:v>1.4211819693610159</c:v>
                </c:pt>
                <c:pt idx="21">
                  <c:v>1.4180324027413829</c:v>
                </c:pt>
                <c:pt idx="22">
                  <c:v>1.4153237754484984</c:v>
                </c:pt>
                <c:pt idx="23">
                  <c:v>1.4129301048175773</c:v>
                </c:pt>
                <c:pt idx="24">
                  <c:v>1.4107883995162267</c:v>
                </c:pt>
                <c:pt idx="25">
                  <c:v>1.4088986595444468</c:v>
                </c:pt>
                <c:pt idx="26">
                  <c:v>1.4072608849022377</c:v>
                </c:pt>
                <c:pt idx="27">
                  <c:v>1.4057490929248138</c:v>
                </c:pt>
                <c:pt idx="28">
                  <c:v>1.4043002922797825</c:v>
                </c:pt>
                <c:pt idx="29">
                  <c:v>1.4030026708324936</c:v>
                </c:pt>
                <c:pt idx="30">
                  <c:v>1.4018562285829472</c:v>
                </c:pt>
                <c:pt idx="31">
                  <c:v>1.4008294698649468</c:v>
                </c:pt>
                <c:pt idx="32">
                  <c:v>1.399909796412014</c:v>
                </c:pt>
                <c:pt idx="33">
                  <c:v>1.3990846099576701</c:v>
                </c:pt>
                <c:pt idx="34">
                  <c:v>1.3983350131021974</c:v>
                </c:pt>
                <c:pt idx="35">
                  <c:v>1.3976421084458781</c:v>
                </c:pt>
                <c:pt idx="36">
                  <c:v>1.3970184942551906</c:v>
                </c:pt>
                <c:pt idx="37">
                  <c:v>1.3964389739971781</c:v>
                </c:pt>
                <c:pt idx="38">
                  <c:v>1.395890949405362</c:v>
                </c:pt>
                <c:pt idx="39">
                  <c:v>1.3953996170126992</c:v>
                </c:pt>
                <c:pt idx="40">
                  <c:v>1.3949460794194721</c:v>
                </c:pt>
                <c:pt idx="41">
                  <c:v>1.3945051400927235</c:v>
                </c:pt>
                <c:pt idx="42">
                  <c:v>1.3940704998992142</c:v>
                </c:pt>
                <c:pt idx="43">
                  <c:v>1.3936673553719012</c:v>
                </c:pt>
                <c:pt idx="44">
                  <c:v>1.3932957065107845</c:v>
                </c:pt>
                <c:pt idx="45">
                  <c:v>1.3929618524491034</c:v>
                </c:pt>
                <c:pt idx="46">
                  <c:v>1.392665793186858</c:v>
                </c:pt>
                <c:pt idx="47">
                  <c:v>1.3923823321910911</c:v>
                </c:pt>
                <c:pt idx="48">
                  <c:v>1.3921240677282811</c:v>
                </c:pt>
                <c:pt idx="49">
                  <c:v>1.3918909997984283</c:v>
                </c:pt>
                <c:pt idx="50">
                  <c:v>1.391670530135054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4507776"/>
        <c:axId val="94509696"/>
      </c:scatterChart>
      <c:valAx>
        <c:axId val="94507776"/>
        <c:scaling>
          <c:orientation val="minMax"/>
          <c:max val="4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Time (h)</a:t>
                </a:r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94509696"/>
        <c:crosses val="autoZero"/>
        <c:crossBetween val="midCat"/>
      </c:valAx>
      <c:valAx>
        <c:axId val="945096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Depth (in)</a:t>
                </a:r>
              </a:p>
            </c:rich>
          </c:tx>
          <c:overlay val="0"/>
        </c:title>
        <c:numFmt formatCode="0.0" sourceLinked="0"/>
        <c:majorTickMark val="out"/>
        <c:minorTickMark val="none"/>
        <c:tickLblPos val="nextTo"/>
        <c:crossAx val="9450777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6692165144810334"/>
          <c:y val="0.46139061557459832"/>
          <c:w val="0.16033196297270436"/>
          <c:h val="3.6484749446857756E-2"/>
        </c:manualLayout>
      </c:layout>
      <c:overlay val="1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Davalos, Gonzalo E</dc:creator>
  <cp:lastModifiedBy>Gonzalo</cp:lastModifiedBy>
  <cp:revision>7</cp:revision>
  <dcterms:created xsi:type="dcterms:W3CDTF">2013-01-26T20:29:00Z</dcterms:created>
  <dcterms:modified xsi:type="dcterms:W3CDTF">2013-01-30T02:32:00Z</dcterms:modified>
</cp:coreProperties>
</file>