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D" w:rsidRPr="00C94970" w:rsidRDefault="00C94970" w:rsidP="00C94970">
      <w:pPr>
        <w:spacing w:after="0"/>
        <w:rPr>
          <w:b/>
        </w:rPr>
      </w:pPr>
      <w:r w:rsidRPr="00C94970">
        <w:rPr>
          <w:b/>
        </w:rPr>
        <w:t xml:space="preserve">Homework </w:t>
      </w:r>
      <w:r w:rsidR="000675FF">
        <w:rPr>
          <w:b/>
        </w:rPr>
        <w:t>4</w:t>
      </w:r>
      <w:r w:rsidRPr="00C94970">
        <w:rPr>
          <w:b/>
        </w:rPr>
        <w:t xml:space="preserve"> Solution</w:t>
      </w:r>
      <w:r w:rsidRPr="00C94970">
        <w:rPr>
          <w:b/>
        </w:rPr>
        <w:tab/>
        <w:t>CE374K Hydrology</w:t>
      </w:r>
      <w:r w:rsidRPr="00C94970">
        <w:rPr>
          <w:b/>
        </w:rPr>
        <w:tab/>
        <w:t>Spring 2013</w:t>
      </w:r>
    </w:p>
    <w:p w:rsidR="00C94970" w:rsidRDefault="00191573">
      <w:r>
        <w:t>Prepared by Gonzalo E. Espinoza</w:t>
      </w:r>
    </w:p>
    <w:p w:rsidR="00565CE1" w:rsidRDefault="00565CE1" w:rsidP="00565CE1">
      <w:proofErr w:type="gramStart"/>
      <w:r w:rsidRPr="00F94A98">
        <w:rPr>
          <w:b/>
        </w:rPr>
        <w:t>Question 1.</w:t>
      </w:r>
      <w:proofErr w:type="gramEnd"/>
      <w:r>
        <w:t xml:space="preserve">  </w:t>
      </w:r>
      <w:r w:rsidRPr="00D73A3A">
        <w:rPr>
          <w:b/>
        </w:rPr>
        <w:t>Rainfall-Runoff</w:t>
      </w:r>
    </w:p>
    <w:p w:rsidR="00565CE1" w:rsidRDefault="00565CE1" w:rsidP="00565CE1">
      <w:pPr>
        <w:pStyle w:val="ListParagraph"/>
        <w:numPr>
          <w:ilvl w:val="0"/>
          <w:numId w:val="4"/>
        </w:numPr>
        <w:spacing w:after="160" w:line="259" w:lineRule="auto"/>
      </w:pPr>
      <w:proofErr w:type="spellStart"/>
      <w:r>
        <w:t>Subbasin</w:t>
      </w:r>
      <w:proofErr w:type="spellEnd"/>
      <w:r>
        <w:t xml:space="preserve"> BUT_060 in Brushy Creek has an area of A = 0.78708 square miles and a lag time of </w:t>
      </w:r>
      <w:proofErr w:type="spellStart"/>
      <w:r>
        <w:t>t</w:t>
      </w:r>
      <w:r w:rsidRPr="002E5F6E">
        <w:rPr>
          <w:vertAlign w:val="subscript"/>
        </w:rPr>
        <w:t>p</w:t>
      </w:r>
      <w:proofErr w:type="spellEnd"/>
      <w:r>
        <w:t xml:space="preserve"> = 35.2 </w:t>
      </w:r>
      <w:proofErr w:type="spellStart"/>
      <w:r>
        <w:t>mins</w:t>
      </w:r>
      <w:proofErr w:type="spellEnd"/>
      <w:r>
        <w:t xml:space="preserve">.   Construct an SCS triangular unit hydrograph unit hydrograph for this </w:t>
      </w:r>
      <w:proofErr w:type="spellStart"/>
      <w:r>
        <w:t>subbasin</w:t>
      </w:r>
      <w:proofErr w:type="spellEnd"/>
      <w:r>
        <w:t xml:space="preserve"> for a rainfall of 10 </w:t>
      </w:r>
      <w:proofErr w:type="spellStart"/>
      <w:r>
        <w:t>mins</w:t>
      </w:r>
      <w:proofErr w:type="spellEnd"/>
      <w:r>
        <w:t xml:space="preserve"> duration.   Determine the peak flow (</w:t>
      </w:r>
      <w:proofErr w:type="spellStart"/>
      <w:r>
        <w:t>cfs</w:t>
      </w:r>
      <w:proofErr w:type="spellEnd"/>
      <w:r>
        <w:t>), time to peak (min) and base time (min).   Draw the unit hydrograph.  What volume of water (ac-</w:t>
      </w:r>
      <w:proofErr w:type="spellStart"/>
      <w:r>
        <w:t>ft</w:t>
      </w:r>
      <w:proofErr w:type="spellEnd"/>
      <w:r>
        <w:t>) is contained in this unit hydrograph?  1 square mile = 640 acres.</w:t>
      </w:r>
    </w:p>
    <w:p w:rsidR="00565CE1" w:rsidRDefault="00565CE1" w:rsidP="00565CE1">
      <w:pPr>
        <w:pStyle w:val="ListParagraph"/>
        <w:numPr>
          <w:ilvl w:val="0"/>
          <w:numId w:val="4"/>
        </w:numPr>
        <w:spacing w:after="160" w:line="259" w:lineRule="auto"/>
      </w:pPr>
      <w:r>
        <w:t>Prepare a table of unit hydrograph ordinates U (</w:t>
      </w:r>
      <w:proofErr w:type="spellStart"/>
      <w:r>
        <w:t>cfs</w:t>
      </w:r>
      <w:proofErr w:type="spellEnd"/>
      <w:r>
        <w:t>) at 10 minute intervals starting at t = 0 for this unit hydrograph.</w:t>
      </w:r>
    </w:p>
    <w:p w:rsidR="00565CE1" w:rsidRDefault="00565CE1" w:rsidP="00565CE1">
      <w:pPr>
        <w:pStyle w:val="ListParagraph"/>
        <w:numPr>
          <w:ilvl w:val="0"/>
          <w:numId w:val="4"/>
        </w:numPr>
        <w:spacing w:after="160" w:line="259" w:lineRule="auto"/>
      </w:pPr>
      <w:r>
        <w:t xml:space="preserve">For a 10 inch storm on this </w:t>
      </w:r>
      <w:proofErr w:type="spellStart"/>
      <w:r>
        <w:t>subbasin</w:t>
      </w:r>
      <w:proofErr w:type="spellEnd"/>
      <w:r>
        <w:t xml:space="preserve">, the total precipitation, losses and excess rainfall in the peak 40 </w:t>
      </w:r>
      <w:proofErr w:type="spellStart"/>
      <w:r>
        <w:t>mins</w:t>
      </w:r>
      <w:proofErr w:type="spellEnd"/>
      <w:r>
        <w:t xml:space="preserve"> of the storm are: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5CE1" w:rsidTr="000A4BD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65CE1" w:rsidRPr="00812FE5" w:rsidRDefault="00565CE1" w:rsidP="000A4BD1">
            <w:pPr>
              <w:pStyle w:val="ListParagraph"/>
              <w:ind w:left="0"/>
              <w:jc w:val="center"/>
            </w:pPr>
            <w:r w:rsidRPr="00812FE5">
              <w:t>Time (10 min incr.)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65CE1" w:rsidRPr="00812FE5" w:rsidRDefault="00565CE1" w:rsidP="000A4BD1">
            <w:pPr>
              <w:pStyle w:val="ListParagraph"/>
              <w:ind w:left="0"/>
              <w:jc w:val="center"/>
            </w:pPr>
            <w:r w:rsidRPr="00812FE5">
              <w:t xml:space="preserve">Total </w:t>
            </w:r>
            <w:proofErr w:type="spellStart"/>
            <w:r w:rsidRPr="00812FE5">
              <w:t>Precip</w:t>
            </w:r>
            <w:proofErr w:type="spellEnd"/>
            <w:r>
              <w:t xml:space="preserve"> (in)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65CE1" w:rsidRPr="00812FE5" w:rsidRDefault="00565CE1" w:rsidP="000A4BD1">
            <w:pPr>
              <w:pStyle w:val="ListParagraph"/>
              <w:ind w:left="0"/>
              <w:jc w:val="center"/>
            </w:pPr>
            <w:r w:rsidRPr="00812FE5">
              <w:t>Losses</w:t>
            </w:r>
            <w:r>
              <w:t xml:space="preserve"> (in)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565CE1" w:rsidRPr="00812FE5" w:rsidRDefault="00565CE1" w:rsidP="000A4BD1">
            <w:pPr>
              <w:pStyle w:val="ListParagraph"/>
              <w:ind w:left="0"/>
              <w:jc w:val="center"/>
            </w:pPr>
            <w:r w:rsidRPr="00812FE5">
              <w:t xml:space="preserve">Excess </w:t>
            </w:r>
            <w:proofErr w:type="spellStart"/>
            <w:r w:rsidRPr="00812FE5">
              <w:t>Precip</w:t>
            </w:r>
            <w:proofErr w:type="spellEnd"/>
            <w:r w:rsidRPr="00812FE5">
              <w:t xml:space="preserve"> (In)</w:t>
            </w:r>
          </w:p>
        </w:tc>
      </w:tr>
      <w:tr w:rsidR="00565CE1" w:rsidTr="000A4BD1">
        <w:tc>
          <w:tcPr>
            <w:tcW w:w="2337" w:type="dxa"/>
            <w:tcBorders>
              <w:top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0.55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0.15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0.40</w:t>
            </w:r>
          </w:p>
        </w:tc>
      </w:tr>
      <w:tr w:rsidR="00565CE1" w:rsidTr="000A4BD1">
        <w:tc>
          <w:tcPr>
            <w:tcW w:w="2337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337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1.15</w:t>
            </w:r>
          </w:p>
        </w:tc>
        <w:tc>
          <w:tcPr>
            <w:tcW w:w="2338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0.26</w:t>
            </w:r>
          </w:p>
        </w:tc>
        <w:tc>
          <w:tcPr>
            <w:tcW w:w="2338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0.90</w:t>
            </w:r>
          </w:p>
        </w:tc>
      </w:tr>
      <w:tr w:rsidR="00565CE1" w:rsidTr="000A4BD1">
        <w:tc>
          <w:tcPr>
            <w:tcW w:w="2337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337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1.15</w:t>
            </w:r>
          </w:p>
        </w:tc>
        <w:tc>
          <w:tcPr>
            <w:tcW w:w="2338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0.20</w:t>
            </w:r>
          </w:p>
        </w:tc>
        <w:tc>
          <w:tcPr>
            <w:tcW w:w="2338" w:type="dxa"/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0.95</w:t>
            </w:r>
          </w:p>
        </w:tc>
      </w:tr>
      <w:tr w:rsidR="00565CE1" w:rsidTr="000A4BD1">
        <w:tc>
          <w:tcPr>
            <w:tcW w:w="2337" w:type="dxa"/>
            <w:tcBorders>
              <w:bottom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0.55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0.08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565CE1" w:rsidRDefault="00565CE1" w:rsidP="000A4BD1">
            <w:pPr>
              <w:pStyle w:val="ListParagraph"/>
              <w:ind w:left="0"/>
              <w:jc w:val="center"/>
            </w:pPr>
            <w:r>
              <w:t>0.47</w:t>
            </w:r>
          </w:p>
        </w:tc>
      </w:tr>
    </w:tbl>
    <w:p w:rsidR="000675FF" w:rsidRDefault="00565CE1">
      <w:r>
        <w:t>Use the unit hydrograph table from (b) and the excess precipitation given in this table to compute the direct runoff hydrograph (</w:t>
      </w:r>
      <w:proofErr w:type="spellStart"/>
      <w:r>
        <w:t>cfs</w:t>
      </w:r>
      <w:proofErr w:type="spellEnd"/>
      <w:r>
        <w:t xml:space="preserve">) in 10min intervals at the outlet of </w:t>
      </w:r>
      <w:proofErr w:type="spellStart"/>
      <w:r>
        <w:t>Subbasin</w:t>
      </w:r>
      <w:proofErr w:type="spellEnd"/>
      <w:r>
        <w:t xml:space="preserve"> BUT_060 resulting from this rainfall.     What is the total excess precipitation (in)?  What is the volume of direct runoff (ac-</w:t>
      </w:r>
      <w:proofErr w:type="spellStart"/>
      <w:r>
        <w:t>ft</w:t>
      </w:r>
      <w:proofErr w:type="spellEnd"/>
      <w:r>
        <w:t xml:space="preserve">)?   What is the equivalent depth of direct runoff expressed in inches over the </w:t>
      </w:r>
      <w:proofErr w:type="spellStart"/>
      <w:r>
        <w:t>subbasin</w:t>
      </w:r>
      <w:proofErr w:type="spellEnd"/>
      <w:r>
        <w:t>?</w:t>
      </w:r>
      <w:r>
        <w:br/>
      </w:r>
    </w:p>
    <w:p w:rsidR="00565CE1" w:rsidRDefault="00585614">
      <w:proofErr w:type="gramStart"/>
      <w:r>
        <w:t>a</w:t>
      </w:r>
      <w:proofErr w:type="gramEnd"/>
      <w:r>
        <w:t>.-</w:t>
      </w:r>
    </w:p>
    <w:p w:rsidR="00585614" w:rsidRDefault="00585614">
      <w:pPr>
        <w:rPr>
          <w:rFonts w:eastAsiaTheme="minorEastAsia"/>
        </w:rPr>
      </w:pPr>
      <w:r>
        <w:t xml:space="preserve">Time to peak: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+35.2=40.2min</m:t>
        </m:r>
      </m:oMath>
    </w:p>
    <w:p w:rsidR="00585614" w:rsidRDefault="00585614">
      <w:r>
        <w:rPr>
          <w:rFonts w:eastAsiaTheme="minorEastAsia"/>
        </w:rPr>
        <w:t xml:space="preserve">Base time: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+1.67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T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=40.2+1.67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40.2</m:t>
            </m:r>
          </m:e>
        </m:d>
        <m:r>
          <w:rPr>
            <w:rFonts w:ascii="Cambria Math" w:eastAsiaTheme="minorEastAsia" w:hAnsi="Cambria Math"/>
          </w:rPr>
          <m:t>=107.33min</m:t>
        </m:r>
      </m:oMath>
    </w:p>
    <w:p w:rsidR="00585614" w:rsidRDefault="00585614">
      <w:pPr>
        <w:rPr>
          <w:rFonts w:eastAsiaTheme="minorEastAsia"/>
        </w:rPr>
      </w:pPr>
      <w:r>
        <w:t xml:space="preserve">Peak Flow: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483.4</m:t>
            </m:r>
            <m:r>
              <w:rPr>
                <w:rFonts w:ascii="Cambria Math" w:hAnsi="Cambria Math"/>
              </w:rPr>
              <m:t>×</m:t>
            </m:r>
            <m:r>
              <w:rPr>
                <w:rFonts w:ascii="Cambria Math" w:eastAsiaTheme="minorEastAsia" w:hAnsi="Cambria Math"/>
              </w:rPr>
              <m:t>0.78708</m:t>
            </m:r>
            <m:ctrlPr>
              <w:rPr>
                <w:rFonts w:ascii="Cambria Math" w:hAnsi="Cambria Math"/>
                <w:i/>
              </w:rPr>
            </m:ctrlP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40.2</m:t>
                </m:r>
              </m:num>
              <m:den>
                <m:r>
                  <w:rPr>
                    <w:rFonts w:ascii="Cambria Math" w:hAnsi="Cambria Math"/>
                  </w:rPr>
                  <m:t>60</m:t>
                </m:r>
              </m:den>
            </m:f>
          </m:den>
        </m:f>
        <m:r>
          <w:rPr>
            <w:rFonts w:ascii="Cambria Math" w:eastAsiaTheme="minorEastAsia" w:hAnsi="Cambria Math"/>
          </w:rPr>
          <m:t>=568cfs</m:t>
        </m:r>
      </m:oMath>
    </w:p>
    <w:p w:rsidR="00F926D6" w:rsidRDefault="0064314F">
      <w:r>
        <w:rPr>
          <w:noProof/>
        </w:rPr>
        <w:drawing>
          <wp:anchor distT="0" distB="0" distL="114300" distR="114300" simplePos="0" relativeHeight="251658240" behindDoc="1" locked="0" layoutInCell="1" allowOverlap="1" wp14:anchorId="1D97C6FF" wp14:editId="62B9DBC8">
            <wp:simplePos x="0" y="0"/>
            <wp:positionH relativeFrom="column">
              <wp:posOffset>3139440</wp:posOffset>
            </wp:positionH>
            <wp:positionV relativeFrom="paragraph">
              <wp:posOffset>123825</wp:posOffset>
            </wp:positionV>
            <wp:extent cx="3593465" cy="2160270"/>
            <wp:effectExtent l="0" t="0" r="6985" b="0"/>
            <wp:wrapTight wrapText="bothSides">
              <wp:wrapPolygon edited="0">
                <wp:start x="0" y="0"/>
                <wp:lineTo x="0" y="21333"/>
                <wp:lineTo x="21527" y="21333"/>
                <wp:lineTo x="2152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16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AF0" w:rsidRDefault="0064314F">
      <w:r>
        <w:t>Volume:</w:t>
      </w:r>
    </w:p>
    <w:p w:rsidR="006079FB" w:rsidRDefault="006079FB" w:rsidP="006079FB"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107.33min×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60s</m:t>
                </m:r>
              </m:num>
              <m:den>
                <m:r>
                  <w:rPr>
                    <w:rFonts w:ascii="Cambria Math" w:hAnsi="Cambria Math"/>
                  </w:rPr>
                  <m:t>1min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568cfs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1acre</m:t>
                </m:r>
              </m:num>
              <m:den>
                <m:r>
                  <w:rPr>
                    <w:rFonts w:ascii="Cambria Math" w:hAnsi="Cambria Math"/>
                  </w:rPr>
                  <m:t>43,560f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eastAsiaTheme="minorEastAsia"/>
        </w:rPr>
        <w:t xml:space="preserve"> </w:t>
      </w:r>
    </w:p>
    <w:p w:rsidR="006079FB" w:rsidRDefault="006079FB" w:rsidP="006079FB">
      <m:oMath>
        <m:r>
          <w:rPr>
            <w:rFonts w:ascii="Cambria Math" w:hAnsi="Cambria Math"/>
          </w:rPr>
          <m:t>V=42 acre-ft</m:t>
        </m:r>
      </m:oMath>
      <w:r>
        <w:rPr>
          <w:rFonts w:eastAsiaTheme="minorEastAsia"/>
        </w:rPr>
        <w:t xml:space="preserve"> </w:t>
      </w:r>
    </w:p>
    <w:p w:rsidR="0064314F" w:rsidRDefault="0064314F"/>
    <w:p w:rsidR="001E032B" w:rsidRDefault="001E032B">
      <w:r>
        <w:br w:type="page"/>
      </w:r>
    </w:p>
    <w:p w:rsidR="00BF757D" w:rsidRDefault="00BF757D" w:rsidP="00BF757D">
      <w:proofErr w:type="gramStart"/>
      <w:r>
        <w:lastRenderedPageBreak/>
        <w:t>b</w:t>
      </w:r>
      <w:proofErr w:type="gramEnd"/>
      <w:r>
        <w:t>.-</w:t>
      </w:r>
    </w:p>
    <w:tbl>
      <w:tblPr>
        <w:tblStyle w:val="TableGrid"/>
        <w:tblW w:w="8509" w:type="dxa"/>
        <w:tblLook w:val="04A0" w:firstRow="1" w:lastRow="0" w:firstColumn="1" w:lastColumn="0" w:noHBand="0" w:noVBand="1"/>
      </w:tblPr>
      <w:tblGrid>
        <w:gridCol w:w="1188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17"/>
      </w:tblGrid>
      <w:tr w:rsidR="009A32CA" w:rsidRPr="00FF7AF0" w:rsidTr="009A32CA">
        <w:trPr>
          <w:trHeight w:val="300"/>
        </w:trPr>
        <w:tc>
          <w:tcPr>
            <w:tcW w:w="1188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  <w:r w:rsidRPr="00FF7AF0">
              <w:rPr>
                <w:sz w:val="20"/>
              </w:rPr>
              <w:t xml:space="preserve"> [</w:t>
            </w:r>
            <w:r>
              <w:rPr>
                <w:sz w:val="20"/>
              </w:rPr>
              <w:t xml:space="preserve">10 </w:t>
            </w:r>
            <w:r w:rsidRPr="00FF7AF0">
              <w:rPr>
                <w:sz w:val="20"/>
              </w:rPr>
              <w:t>min]</w:t>
            </w:r>
          </w:p>
        </w:tc>
        <w:tc>
          <w:tcPr>
            <w:tcW w:w="412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7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FF7AF0">
              <w:rPr>
                <w:sz w:val="20"/>
              </w:rPr>
              <w:t>0</w:t>
            </w:r>
          </w:p>
        </w:tc>
      </w:tr>
      <w:tr w:rsidR="009A32CA" w:rsidRPr="00FF7AF0" w:rsidTr="009A32CA">
        <w:trPr>
          <w:trHeight w:val="300"/>
        </w:trPr>
        <w:tc>
          <w:tcPr>
            <w:tcW w:w="1188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Q [</w:t>
            </w:r>
            <w:proofErr w:type="spellStart"/>
            <w:r w:rsidRPr="00FF7AF0">
              <w:rPr>
                <w:sz w:val="20"/>
              </w:rPr>
              <w:t>cfs</w:t>
            </w:r>
            <w:proofErr w:type="spellEnd"/>
            <w:r>
              <w:rPr>
                <w:sz w:val="20"/>
              </w:rPr>
              <w:t>/in</w:t>
            </w:r>
            <w:r w:rsidRPr="00FF7AF0">
              <w:rPr>
                <w:sz w:val="20"/>
              </w:rPr>
              <w:t>]</w:t>
            </w:r>
          </w:p>
        </w:tc>
        <w:tc>
          <w:tcPr>
            <w:tcW w:w="412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141.26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282.52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423.79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565.05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484.97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400.38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315.79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231.19</w:t>
            </w:r>
          </w:p>
        </w:tc>
        <w:tc>
          <w:tcPr>
            <w:tcW w:w="774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146.60</w:t>
            </w:r>
          </w:p>
        </w:tc>
        <w:tc>
          <w:tcPr>
            <w:tcW w:w="717" w:type="dxa"/>
            <w:noWrap/>
            <w:hideMark/>
          </w:tcPr>
          <w:p w:rsidR="009A32CA" w:rsidRPr="00FF7AF0" w:rsidRDefault="009A32CA" w:rsidP="009A32CA">
            <w:pPr>
              <w:jc w:val="center"/>
              <w:rPr>
                <w:sz w:val="20"/>
              </w:rPr>
            </w:pPr>
            <w:r w:rsidRPr="00FF7AF0">
              <w:rPr>
                <w:sz w:val="20"/>
              </w:rPr>
              <w:t>62.01</w:t>
            </w:r>
          </w:p>
        </w:tc>
      </w:tr>
    </w:tbl>
    <w:p w:rsidR="0064314F" w:rsidRDefault="0064314F"/>
    <w:p w:rsidR="0007367A" w:rsidRDefault="0007367A" w:rsidP="0007367A">
      <w:proofErr w:type="gramStart"/>
      <w:r>
        <w:t>c</w:t>
      </w:r>
      <w:proofErr w:type="gramEnd"/>
      <w:r>
        <w:t>.-</w:t>
      </w:r>
    </w:p>
    <w:p w:rsidR="0007367A" w:rsidRDefault="005E065F">
      <w:r w:rsidRPr="005E065F">
        <w:rPr>
          <w:noProof/>
        </w:rPr>
        <w:drawing>
          <wp:inline distT="0" distB="0" distL="0" distR="0" wp14:anchorId="4D3364B1" wp14:editId="47AABF01">
            <wp:extent cx="6309360" cy="281834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281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4F" w:rsidRDefault="0064314F"/>
    <w:p w:rsidR="005E065F" w:rsidRDefault="005E065F" w:rsidP="005E065F">
      <w:r>
        <w:t>Total Excess Precipitation:</w:t>
      </w:r>
    </w:p>
    <w:p w:rsidR="005E065F" w:rsidRDefault="005E065F" w:rsidP="005E065F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=0.40+0.90+0.95+0.47=2.72in</m:t>
        </m:r>
      </m:oMath>
    </w:p>
    <w:p w:rsidR="00BF757D" w:rsidRDefault="00BF757D"/>
    <w:p w:rsidR="005E065F" w:rsidRDefault="005E065F" w:rsidP="005E065F">
      <w:r>
        <w:t>Volume of direct runoff:</w:t>
      </w:r>
    </w:p>
    <w:p w:rsidR="005E065F" w:rsidRDefault="005E065F" w:rsidP="005E065F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dr</m:t>
            </m:r>
          </m:sub>
        </m:sSub>
        <m:r>
          <w:rPr>
            <w:rFonts w:ascii="Cambria Math" w:hAnsi="Cambria Math"/>
          </w:rPr>
          <m:t>=114.40 acre-ft</m:t>
        </m:r>
      </m:oMath>
    </w:p>
    <w:p w:rsidR="005E065F" w:rsidRDefault="005E065F"/>
    <w:p w:rsidR="005E065F" w:rsidRDefault="005E065F" w:rsidP="005E065F">
      <w:r>
        <w:t>Equivalent depth of direct runoff:</w:t>
      </w:r>
    </w:p>
    <w:p w:rsidR="005E065F" w:rsidRDefault="005E065F" w:rsidP="005E065F">
      <w:pPr>
        <w:rPr>
          <w:rFonts w:eastAsiaTheme="minorEastAsia"/>
        </w:rPr>
      </w:pP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114.40 acre-ft</m:t>
            </m:r>
          </m:num>
          <m:den>
            <m:r>
              <w:rPr>
                <w:rFonts w:ascii="Cambria Math" w:hAnsi="Cambria Math"/>
              </w:rPr>
              <m:t>0.78708m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640 acres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12in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1ft</m:t>
                </m:r>
              </m:den>
            </m:f>
          </m:e>
        </m:d>
        <m:r>
          <w:rPr>
            <w:rFonts w:ascii="Cambria Math" w:eastAsiaTheme="minorEastAsia" w:hAnsi="Cambria Math"/>
          </w:rPr>
          <m:t>=2.72in</m:t>
        </m:r>
      </m:oMath>
    </w:p>
    <w:p w:rsidR="00BF757D" w:rsidRDefault="00BF757D"/>
    <w:p w:rsidR="00BF757D" w:rsidRDefault="00BF757D"/>
    <w:p w:rsidR="00BF757D" w:rsidRDefault="00BF757D"/>
    <w:p w:rsidR="00BF757D" w:rsidRDefault="00BF757D"/>
    <w:p w:rsidR="00BF757D" w:rsidRPr="00201943" w:rsidRDefault="00BF757D" w:rsidP="00BF757D">
      <w:pPr>
        <w:pStyle w:val="ListParagraph"/>
        <w:ind w:left="0"/>
        <w:rPr>
          <w:b/>
        </w:rPr>
      </w:pPr>
      <w:proofErr w:type="gramStart"/>
      <w:r w:rsidRPr="00201943">
        <w:rPr>
          <w:b/>
        </w:rPr>
        <w:lastRenderedPageBreak/>
        <w:t>Question 2.</w:t>
      </w:r>
      <w:proofErr w:type="gramEnd"/>
      <w:r w:rsidRPr="00201943">
        <w:rPr>
          <w:b/>
        </w:rPr>
        <w:t xml:space="preserve">  Reservoir Routing</w:t>
      </w:r>
    </w:p>
    <w:p w:rsidR="00BF757D" w:rsidRDefault="00BF757D" w:rsidP="00BF757D">
      <w:pPr>
        <w:pStyle w:val="ListParagraph"/>
        <w:ind w:left="0"/>
      </w:pPr>
    </w:p>
    <w:p w:rsidR="00BF757D" w:rsidRDefault="00BF757D" w:rsidP="00BF757D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For Dam 7, the elevation, storage and discharge characteristics are given in the table below.   Discharge begins in the primary spillway at elevation 805 </w:t>
      </w:r>
      <w:proofErr w:type="spellStart"/>
      <w:r>
        <w:t>ft</w:t>
      </w:r>
      <w:proofErr w:type="spellEnd"/>
      <w:r>
        <w:t xml:space="preserve"> above datum and flow over the emergency spillway begins at elevation 829 </w:t>
      </w:r>
      <w:proofErr w:type="spellStart"/>
      <w:r>
        <w:t>ft</w:t>
      </w:r>
      <w:proofErr w:type="spellEnd"/>
      <w:r>
        <w:t xml:space="preserve"> above datum.   Using this information, construct a table of 2S/</w:t>
      </w:r>
      <w:r w:rsidRPr="00124A43">
        <w:rPr>
          <w:rFonts w:ascii="Symbol" w:hAnsi="Symbol"/>
        </w:rPr>
        <w:t></w:t>
      </w:r>
      <w:r>
        <w:t>t + Q (</w:t>
      </w:r>
      <w:proofErr w:type="spellStart"/>
      <w:r>
        <w:t>cfs</w:t>
      </w:r>
      <w:proofErr w:type="spellEnd"/>
      <w:r>
        <w:t xml:space="preserve">) </w:t>
      </w:r>
      <w:proofErr w:type="spellStart"/>
      <w:r>
        <w:t>vs</w:t>
      </w:r>
      <w:proofErr w:type="spellEnd"/>
      <w:r>
        <w:t xml:space="preserve"> Q (</w:t>
      </w:r>
      <w:proofErr w:type="spellStart"/>
      <w:r>
        <w:t>cfs</w:t>
      </w:r>
      <w:proofErr w:type="spellEnd"/>
      <w:r>
        <w:t xml:space="preserve">) for </w:t>
      </w:r>
      <w:r w:rsidRPr="00124A43">
        <w:rPr>
          <w:rFonts w:ascii="Symbol" w:hAnsi="Symbol"/>
        </w:rPr>
        <w:t></w:t>
      </w:r>
      <w:r>
        <w:t>t = 3 hours.</w:t>
      </w:r>
    </w:p>
    <w:tbl>
      <w:tblPr>
        <w:tblW w:w="9432" w:type="dxa"/>
        <w:tblInd w:w="720" w:type="dxa"/>
        <w:tblLook w:val="04A0" w:firstRow="1" w:lastRow="0" w:firstColumn="1" w:lastColumn="0" w:noHBand="0" w:noVBand="1"/>
      </w:tblPr>
      <w:tblGrid>
        <w:gridCol w:w="5937"/>
        <w:gridCol w:w="1924"/>
        <w:gridCol w:w="1571"/>
      </w:tblGrid>
      <w:tr w:rsidR="00BF757D" w:rsidRPr="00201943" w:rsidTr="00D11FDE">
        <w:trPr>
          <w:trHeight w:val="300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740" w:type="dxa"/>
              <w:tblLook w:val="04A0" w:firstRow="1" w:lastRow="0" w:firstColumn="1" w:lastColumn="0" w:noHBand="0" w:noVBand="1"/>
            </w:tblPr>
            <w:tblGrid>
              <w:gridCol w:w="1316"/>
              <w:gridCol w:w="1475"/>
              <w:gridCol w:w="1475"/>
              <w:gridCol w:w="1455"/>
            </w:tblGrid>
            <w:tr w:rsidR="00D11FDE" w:rsidRPr="00D11FDE" w:rsidTr="00D11FDE">
              <w:trPr>
                <w:trHeight w:val="315"/>
              </w:trPr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Elevation (</w:t>
                  </w:r>
                  <w:proofErr w:type="spellStart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ft</w:t>
                  </w:r>
                  <w:proofErr w:type="spellEnd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Storage (Ac-</w:t>
                  </w:r>
                  <w:proofErr w:type="spellStart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ft</w:t>
                  </w:r>
                  <w:proofErr w:type="spellEnd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4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Discharge (</w:t>
                  </w:r>
                  <w:proofErr w:type="spellStart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cfs</w:t>
                  </w:r>
                  <w:proofErr w:type="spellEnd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1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2S/∆t + Q  (</w:t>
                  </w:r>
                  <w:proofErr w:type="spellStart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cfs</w:t>
                  </w:r>
                  <w:proofErr w:type="spellEnd"/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)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805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0.00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0.00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0.00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807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109.22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94.57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975.61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809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238.13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98.89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2,019.81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385.61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102.83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3,213.42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561.82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106.61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4,638.62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772.75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110.29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6,343.81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1,031.46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113.80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8,434.24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1,307.01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117.22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10,660.43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1,608.38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120.57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13,094.84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1,967.20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123.81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15,992.56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2,353.04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126.97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19,108.16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2,775.92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130.05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22,522.47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3,243.88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133.07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26,300.37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829.75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3,430.94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387.16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28,063.41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830.5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3,631.02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922.26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30,212.49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831.85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4,002.88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2,486.81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34,776.71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833.5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4,501.40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5,186.03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41,497.32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836.5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5,510.77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14,100.09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58,553.63</w:t>
                  </w:r>
                </w:p>
              </w:tc>
            </w:tr>
            <w:tr w:rsidR="00D11FDE" w:rsidRPr="00D11FDE" w:rsidTr="00D11FDE">
              <w:trPr>
                <w:trHeight w:val="300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840.25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7,008.94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81,641.54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138,180.32</w:t>
                  </w:r>
                </w:p>
              </w:tc>
            </w:tr>
            <w:tr w:rsidR="00D11FDE" w:rsidRPr="00D11FDE" w:rsidTr="00D11FDE">
              <w:trPr>
                <w:trHeight w:val="315"/>
              </w:trPr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844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8,692.70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201,496.45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1FDE" w:rsidRPr="00D11FDE" w:rsidRDefault="00D11FDE" w:rsidP="00D11F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11FDE">
                    <w:rPr>
                      <w:rFonts w:ascii="Calibri" w:eastAsia="Times New Roman" w:hAnsi="Calibri" w:cs="Calibri"/>
                      <w:color w:val="000000"/>
                    </w:rPr>
                    <w:t>271,617.56</w:t>
                  </w:r>
                </w:p>
              </w:tc>
            </w:tr>
          </w:tbl>
          <w:p w:rsidR="00BF757D" w:rsidRPr="00201943" w:rsidRDefault="00BF757D" w:rsidP="00D11FDE">
            <w:pPr>
              <w:spacing w:before="100" w:beforeAutospacing="1"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57D" w:rsidRPr="00201943" w:rsidRDefault="00BF757D" w:rsidP="000A4BD1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57D" w:rsidRPr="00201943" w:rsidRDefault="00BF757D" w:rsidP="00D10596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757D" w:rsidRPr="00201943" w:rsidTr="00D11FDE">
        <w:trPr>
          <w:trHeight w:val="300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57D" w:rsidRPr="00201943" w:rsidRDefault="00BF757D" w:rsidP="000A4BD1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57D" w:rsidRPr="00201943" w:rsidRDefault="00BF757D" w:rsidP="000A4BD1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757D" w:rsidRPr="00201943" w:rsidRDefault="00BF757D" w:rsidP="000A4BD1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11FDE" w:rsidRDefault="00D11FDE" w:rsidP="00D11FDE">
      <w:pPr>
        <w:pStyle w:val="ListParagraph"/>
        <w:spacing w:after="160" w:line="259" w:lineRule="auto"/>
        <w:jc w:val="center"/>
      </w:pPr>
      <w:r>
        <w:rPr>
          <w:noProof/>
        </w:rPr>
        <w:drawing>
          <wp:inline distT="0" distB="0" distL="0" distR="0" wp14:anchorId="3275B5A0" wp14:editId="7EDC7A4E">
            <wp:extent cx="4562475" cy="27432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11FDE" w:rsidRDefault="00D11FDE" w:rsidP="00D11FDE">
      <w:pPr>
        <w:pStyle w:val="ListParagraph"/>
        <w:spacing w:after="160" w:line="259" w:lineRule="auto"/>
      </w:pPr>
    </w:p>
    <w:p w:rsidR="00BF757D" w:rsidRDefault="00BF757D" w:rsidP="00BF757D">
      <w:pPr>
        <w:pStyle w:val="ListParagraph"/>
        <w:numPr>
          <w:ilvl w:val="0"/>
          <w:numId w:val="5"/>
        </w:numPr>
        <w:spacing w:after="160" w:line="259" w:lineRule="auto"/>
      </w:pPr>
      <w:r>
        <w:lastRenderedPageBreak/>
        <w:t>The inflow hydrograph to Dam 7 is given below.    Determine the resulting time distributions of the storage (ac-</w:t>
      </w:r>
      <w:proofErr w:type="spellStart"/>
      <w:r>
        <w:t>ft</w:t>
      </w:r>
      <w:proofErr w:type="spellEnd"/>
      <w:r>
        <w:t>) and elevation (</w:t>
      </w:r>
      <w:proofErr w:type="spellStart"/>
      <w:r>
        <w:t>ft</w:t>
      </w:r>
      <w:proofErr w:type="spellEnd"/>
      <w:r>
        <w:t>) in Dam 7 and discharge (</w:t>
      </w:r>
      <w:proofErr w:type="spellStart"/>
      <w:r>
        <w:t>cfs</w:t>
      </w:r>
      <w:proofErr w:type="spellEnd"/>
      <w:r>
        <w:t>) from Dam 7 for time 0 to 36 hours.   What is the peak elevation?   What is the peak discharge?   Does water flow over the emergency spillway?</w:t>
      </w:r>
    </w:p>
    <w:p w:rsidR="005E065F" w:rsidRDefault="005E065F" w:rsidP="000A4BD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  <w:sectPr w:rsidR="005E065F" w:rsidSect="008408C8">
          <w:type w:val="continuous"/>
          <w:pgSz w:w="12240" w:h="15840"/>
          <w:pgMar w:top="1152" w:right="1152" w:bottom="1152" w:left="1152" w:header="720" w:footer="720" w:gutter="0"/>
          <w:cols w:space="720"/>
          <w:docGrid w:linePitch="360"/>
        </w:sectPr>
      </w:pPr>
    </w:p>
    <w:tbl>
      <w:tblPr>
        <w:tblStyle w:val="TableGrid"/>
        <w:tblW w:w="8478" w:type="dxa"/>
        <w:jc w:val="center"/>
        <w:tblLook w:val="04A0" w:firstRow="1" w:lastRow="0" w:firstColumn="1" w:lastColumn="0" w:noHBand="0" w:noVBand="1"/>
      </w:tblPr>
      <w:tblGrid>
        <w:gridCol w:w="918"/>
        <w:gridCol w:w="1080"/>
        <w:gridCol w:w="1170"/>
        <w:gridCol w:w="1260"/>
        <w:gridCol w:w="1710"/>
        <w:gridCol w:w="1170"/>
        <w:gridCol w:w="1170"/>
      </w:tblGrid>
      <w:tr w:rsidR="008E625A" w:rsidRPr="008E625A" w:rsidTr="000C7696">
        <w:trPr>
          <w:trHeight w:val="315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lastRenderedPageBreak/>
              <w:t>Time (</w:t>
            </w:r>
            <w:proofErr w:type="spellStart"/>
            <w:r w:rsidRPr="008E625A">
              <w:t>hrs</w:t>
            </w:r>
            <w:proofErr w:type="spellEnd"/>
            <w:r w:rsidRPr="008E625A">
              <w:t>)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Inflow (</w:t>
            </w:r>
            <w:proofErr w:type="spellStart"/>
            <w:r w:rsidRPr="008E625A">
              <w:t>cfs</w:t>
            </w:r>
            <w:proofErr w:type="spellEnd"/>
            <w:r w:rsidRPr="008E625A">
              <w:t>)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Ij+Ij+1 (</w:t>
            </w:r>
            <w:proofErr w:type="spellStart"/>
            <w:r w:rsidRPr="008E625A">
              <w:t>cfs</w:t>
            </w:r>
            <w:proofErr w:type="spellEnd"/>
            <w:r w:rsidRPr="008E625A">
              <w:t>)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2Sj/</w:t>
            </w:r>
            <w:proofErr w:type="spellStart"/>
            <w:r w:rsidRPr="008E625A">
              <w:t>Δt</w:t>
            </w:r>
            <w:proofErr w:type="spellEnd"/>
            <w:r w:rsidRPr="008E625A">
              <w:t xml:space="preserve"> -</w:t>
            </w:r>
            <w:proofErr w:type="spellStart"/>
            <w:r w:rsidRPr="008E625A">
              <w:t>Qj</w:t>
            </w:r>
            <w:proofErr w:type="spellEnd"/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2Sj+1/</w:t>
            </w:r>
            <w:proofErr w:type="spellStart"/>
            <w:r w:rsidRPr="008E625A">
              <w:t>Δt</w:t>
            </w:r>
            <w:proofErr w:type="spellEnd"/>
            <w:r w:rsidRPr="008E625A">
              <w:t xml:space="preserve"> +Qj+1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Elevation (</w:t>
            </w:r>
            <w:proofErr w:type="spellStart"/>
            <w:r w:rsidRPr="008E625A">
              <w:t>ft</w:t>
            </w:r>
            <w:proofErr w:type="spellEnd"/>
            <w:r w:rsidRPr="008E625A">
              <w:t>)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center"/>
            </w:pPr>
            <w:r w:rsidRPr="008E625A">
              <w:t>Outflow Q (</w:t>
            </w:r>
            <w:proofErr w:type="spellStart"/>
            <w:r w:rsidRPr="008E625A">
              <w:t>cfs</w:t>
            </w:r>
            <w:proofErr w:type="spellEnd"/>
            <w:r w:rsidRPr="008E625A">
              <w:t>)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0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0.0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0.0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805.00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0.00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123.2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123.2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99.3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123.2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805.25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11.94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6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230.3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353.5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365.0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452.8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805.93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43.89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9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485.9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716.2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891.2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1,081.2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807.20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95.01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3,534.3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4,020.2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4,697.0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4,911.4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813.32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107.20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15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4,914.9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8,449.2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12,905.0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13,146.2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821.04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120.63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18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1,742.6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6,657.5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19,307.7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19,562.5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825.27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127.38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21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1,270.1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3,012.7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22,060.7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22,320.4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826.88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129.87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24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1,048.1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2,318.2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24,115.8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24,378.9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827.98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131.53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27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506.5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1,554.6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25,405.3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25,670.4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828.67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132.57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30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239.3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745.8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25,885.2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26,151.1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828.92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132.95</w:t>
            </w:r>
          </w:p>
        </w:tc>
      </w:tr>
      <w:tr w:rsidR="008E625A" w:rsidRPr="008E625A" w:rsidTr="000C7696">
        <w:trPr>
          <w:trHeight w:val="300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33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148.8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388.1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26,007.2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26,273.3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828.99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133.05</w:t>
            </w:r>
          </w:p>
        </w:tc>
      </w:tr>
      <w:tr w:rsidR="008E625A" w:rsidRPr="008E625A" w:rsidTr="000C7696">
        <w:trPr>
          <w:trHeight w:val="315"/>
          <w:jc w:val="center"/>
        </w:trPr>
        <w:tc>
          <w:tcPr>
            <w:tcW w:w="918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36</w:t>
            </w:r>
          </w:p>
        </w:tc>
        <w:tc>
          <w:tcPr>
            <w:tcW w:w="108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102.4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251.2</w:t>
            </w:r>
          </w:p>
        </w:tc>
        <w:tc>
          <w:tcPr>
            <w:tcW w:w="126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25,992.3</w:t>
            </w:r>
          </w:p>
        </w:tc>
        <w:tc>
          <w:tcPr>
            <w:tcW w:w="171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26,258.4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828.98</w:t>
            </w:r>
          </w:p>
        </w:tc>
        <w:tc>
          <w:tcPr>
            <w:tcW w:w="1170" w:type="dxa"/>
            <w:noWrap/>
            <w:hideMark/>
          </w:tcPr>
          <w:p w:rsidR="008E625A" w:rsidRPr="008E625A" w:rsidRDefault="008E625A" w:rsidP="008E625A">
            <w:pPr>
              <w:jc w:val="right"/>
            </w:pPr>
            <w:r w:rsidRPr="008E625A">
              <w:t>133.04</w:t>
            </w:r>
          </w:p>
        </w:tc>
      </w:tr>
    </w:tbl>
    <w:p w:rsidR="005E065F" w:rsidRDefault="005E065F" w:rsidP="00BF757D"/>
    <w:p w:rsidR="008E625A" w:rsidRDefault="008E625A" w:rsidP="00BF757D">
      <w:r>
        <w:t xml:space="preserve">Peak Elevation: 828.99 </w:t>
      </w:r>
      <w:proofErr w:type="spellStart"/>
      <w:r>
        <w:t>ft</w:t>
      </w:r>
      <w:proofErr w:type="spellEnd"/>
    </w:p>
    <w:p w:rsidR="008E625A" w:rsidRDefault="008E625A" w:rsidP="00BF757D">
      <w:r>
        <w:t xml:space="preserve">Peak Discharge: 133.05 </w:t>
      </w:r>
      <w:proofErr w:type="spellStart"/>
      <w:r>
        <w:t>cfs</w:t>
      </w:r>
      <w:proofErr w:type="spellEnd"/>
    </w:p>
    <w:p w:rsidR="008E625A" w:rsidRDefault="000C7696" w:rsidP="00BF757D">
      <w:r>
        <w:t>The water does not flow over the emergency spillway.</w:t>
      </w:r>
    </w:p>
    <w:p w:rsidR="005E065F" w:rsidRDefault="005E065F" w:rsidP="00BF757D"/>
    <w:p w:rsidR="009A4372" w:rsidRDefault="009A4372">
      <w:pPr>
        <w:rPr>
          <w:b/>
        </w:rPr>
      </w:pPr>
      <w:r>
        <w:rPr>
          <w:b/>
        </w:rPr>
        <w:br w:type="page"/>
      </w:r>
    </w:p>
    <w:p w:rsidR="00BF757D" w:rsidRPr="00D7245E" w:rsidRDefault="005E065F" w:rsidP="00BF757D">
      <w:pPr>
        <w:rPr>
          <w:b/>
        </w:rPr>
      </w:pPr>
      <w:proofErr w:type="gramStart"/>
      <w:r>
        <w:rPr>
          <w:b/>
        </w:rPr>
        <w:lastRenderedPageBreak/>
        <w:t xml:space="preserve">Question </w:t>
      </w:r>
      <w:r w:rsidR="00BF757D" w:rsidRPr="00D7245E">
        <w:rPr>
          <w:b/>
        </w:rPr>
        <w:t>3.</w:t>
      </w:r>
      <w:proofErr w:type="gramEnd"/>
      <w:r w:rsidR="00BF757D" w:rsidRPr="00D7245E">
        <w:rPr>
          <w:b/>
        </w:rPr>
        <w:t xml:space="preserve">  Channel </w:t>
      </w:r>
      <w:r w:rsidR="00BF757D">
        <w:rPr>
          <w:b/>
        </w:rPr>
        <w:t>Flow</w:t>
      </w:r>
    </w:p>
    <w:p w:rsidR="00BF757D" w:rsidRDefault="00BF757D" w:rsidP="00BF757D">
      <w:r>
        <w:t xml:space="preserve">Reach SBR_080 in Brushy Creek has a length of 1545 </w:t>
      </w:r>
      <w:proofErr w:type="spellStart"/>
      <w:r>
        <w:t>ft</w:t>
      </w:r>
      <w:proofErr w:type="spellEnd"/>
      <w:r>
        <w:t xml:space="preserve">, a slope of 0.0008 </w:t>
      </w:r>
      <w:proofErr w:type="spellStart"/>
      <w:r>
        <w:t>ft</w:t>
      </w:r>
      <w:proofErr w:type="spellEnd"/>
      <w:r>
        <w:t>/</w:t>
      </w:r>
      <w:proofErr w:type="spellStart"/>
      <w:r>
        <w:t>ft</w:t>
      </w:r>
      <w:proofErr w:type="spellEnd"/>
      <w:r>
        <w:t>, a Manning’s “n” of 0.1 and a cross-section defined by the coordinates in the table below where Station means distance from the left hand side of the channel, looking downstream.</w:t>
      </w:r>
    </w:p>
    <w:tbl>
      <w:tblPr>
        <w:tblW w:w="3150" w:type="dxa"/>
        <w:tblInd w:w="720" w:type="dxa"/>
        <w:tblLook w:val="04A0" w:firstRow="1" w:lastRow="0" w:firstColumn="1" w:lastColumn="0" w:noHBand="0" w:noVBand="1"/>
      </w:tblPr>
      <w:tblGrid>
        <w:gridCol w:w="1710"/>
        <w:gridCol w:w="1440"/>
      </w:tblGrid>
      <w:tr w:rsidR="00BF757D" w:rsidRPr="00D7245E" w:rsidTr="000A4BD1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Station(</w:t>
            </w:r>
            <w:proofErr w:type="spellStart"/>
            <w:r w:rsidRPr="00D7245E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D7245E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Elevation (</w:t>
            </w:r>
            <w:proofErr w:type="spellStart"/>
            <w:r w:rsidRPr="00D7245E">
              <w:rPr>
                <w:rFonts w:ascii="Calibri" w:eastAsia="Times New Roman" w:hAnsi="Calibri" w:cs="Times New Roman"/>
                <w:color w:val="000000"/>
              </w:rPr>
              <w:t>ft</w:t>
            </w:r>
            <w:proofErr w:type="spellEnd"/>
            <w:r w:rsidRPr="00D7245E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797.61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118.10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790.07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236.20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781.67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284.00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777.07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304.00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777.07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323.42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783.57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344.26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789.86</w:t>
            </w:r>
          </w:p>
        </w:tc>
      </w:tr>
      <w:tr w:rsidR="00BF757D" w:rsidRPr="00D7245E" w:rsidTr="000A4BD1">
        <w:trPr>
          <w:trHeight w:val="300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365.10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7D" w:rsidRPr="00D7245E" w:rsidRDefault="00BF757D" w:rsidP="000A4B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245E">
              <w:rPr>
                <w:rFonts w:ascii="Calibri" w:eastAsia="Times New Roman" w:hAnsi="Calibri" w:cs="Times New Roman"/>
                <w:color w:val="000000"/>
              </w:rPr>
              <w:t>795.48</w:t>
            </w:r>
          </w:p>
        </w:tc>
      </w:tr>
    </w:tbl>
    <w:p w:rsidR="00BF757D" w:rsidRDefault="00BF757D" w:rsidP="00BF757D"/>
    <w:p w:rsidR="00BF757D" w:rsidRDefault="00BF757D" w:rsidP="00BF757D">
      <w:r>
        <w:t xml:space="preserve">For elevations of h = 777, 780, 785, 790, 795 </w:t>
      </w:r>
      <w:proofErr w:type="spellStart"/>
      <w:r>
        <w:t>ft</w:t>
      </w:r>
      <w:proofErr w:type="spellEnd"/>
      <w:r>
        <w:t xml:space="preserve"> above datum, determine the corresponding water depth, y (</w:t>
      </w:r>
      <w:proofErr w:type="spellStart"/>
      <w:r>
        <w:t>ft</w:t>
      </w:r>
      <w:proofErr w:type="spellEnd"/>
      <w:r>
        <w:t>), wetted perimeter, P (</w:t>
      </w:r>
      <w:proofErr w:type="spellStart"/>
      <w:r>
        <w:t>ft</w:t>
      </w:r>
      <w:proofErr w:type="spellEnd"/>
      <w:r>
        <w:t>), cross-sectional area, A (ft</w:t>
      </w:r>
      <w:r w:rsidRPr="00A671F8">
        <w:rPr>
          <w:vertAlign w:val="superscript"/>
        </w:rPr>
        <w:t>2</w:t>
      </w:r>
      <w:r>
        <w:t>), hydraulic radius, R (</w:t>
      </w:r>
      <w:proofErr w:type="spellStart"/>
      <w:r>
        <w:t>ft</w:t>
      </w:r>
      <w:proofErr w:type="spellEnd"/>
      <w:r>
        <w:t>), flow velocity V (</w:t>
      </w:r>
      <w:proofErr w:type="spellStart"/>
      <w:r>
        <w:t>ft</w:t>
      </w:r>
      <w:proofErr w:type="spellEnd"/>
      <w:r>
        <w:t>/s), discharge Q (</w:t>
      </w:r>
      <w:proofErr w:type="spellStart"/>
      <w:r>
        <w:t>cfs</w:t>
      </w:r>
      <w:proofErr w:type="spellEnd"/>
      <w:r>
        <w:t xml:space="preserve">), and kinematic wave celerity </w:t>
      </w:r>
      <w:proofErr w:type="spellStart"/>
      <w:r>
        <w:t>C</w:t>
      </w:r>
      <w:r w:rsidRPr="00A671F8">
        <w:rPr>
          <w:vertAlign w:val="subscript"/>
        </w:rPr>
        <w:t>k</w:t>
      </w:r>
      <w:proofErr w:type="spellEnd"/>
      <w:r>
        <w:t xml:space="preserve"> (</w:t>
      </w:r>
      <w:proofErr w:type="spellStart"/>
      <w:r>
        <w:t>ft</w:t>
      </w:r>
      <w:proofErr w:type="spellEnd"/>
      <w:r>
        <w:t>/s).</w:t>
      </w:r>
    </w:p>
    <w:p w:rsidR="00DE09A7" w:rsidRDefault="00DE09A7" w:rsidP="00BF757D"/>
    <w:p w:rsidR="00DE09A7" w:rsidRDefault="00DE09A7" w:rsidP="00BF757D">
      <w:r>
        <w:t>SUMMARY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1860"/>
        <w:gridCol w:w="1140"/>
        <w:gridCol w:w="771"/>
        <w:gridCol w:w="893"/>
        <w:gridCol w:w="892"/>
        <w:gridCol w:w="1122"/>
        <w:gridCol w:w="1122"/>
      </w:tblGrid>
      <w:tr w:rsidR="00DE09A7" w:rsidRPr="00DE09A7" w:rsidTr="00DE09A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Case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Parameter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 xml:space="preserve">777 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 xml:space="preserve">780 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 xml:space="preserve">785 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 xml:space="preserve">790 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 xml:space="preserve">795 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87.53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227.54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249.50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368.33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157.08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730.14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1,516.50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2,986.39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6.08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97.76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669.43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2,128.57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5,079.41</w:t>
            </w:r>
          </w:p>
        </w:tc>
      </w:tr>
      <w:tr w:rsidR="00DE09A7" w:rsidRPr="00DE09A7" w:rsidTr="00DE09A7">
        <w:trPr>
          <w:trHeight w:val="300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DE09A7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DE09A7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7" w:rsidRPr="00DE09A7" w:rsidRDefault="00DE09A7" w:rsidP="00DE09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E09A7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</w:tr>
    </w:tbl>
    <w:p w:rsidR="00DE09A7" w:rsidRDefault="00DE09A7" w:rsidP="00BF757D"/>
    <w:p w:rsidR="00DE09A7" w:rsidRDefault="00DE09A7" w:rsidP="00BF757D"/>
    <w:p w:rsidR="00DE09A7" w:rsidRDefault="00DE09A7" w:rsidP="00BF757D"/>
    <w:p w:rsidR="00DE09A7" w:rsidRDefault="00DE09A7" w:rsidP="00BF757D"/>
    <w:p w:rsidR="00DE09A7" w:rsidRDefault="00DE09A7" w:rsidP="00BF757D"/>
    <w:p w:rsidR="00DE09A7" w:rsidRDefault="00DE09A7" w:rsidP="00BF757D"/>
    <w:p w:rsidR="00DE09A7" w:rsidRDefault="00DE09A7" w:rsidP="00BF757D"/>
    <w:tbl>
      <w:tblPr>
        <w:tblW w:w="9055" w:type="dxa"/>
        <w:tblInd w:w="93" w:type="dxa"/>
        <w:tblLook w:val="04A0" w:firstRow="1" w:lastRow="0" w:firstColumn="1" w:lastColumn="0" w:noHBand="0" w:noVBand="1"/>
      </w:tblPr>
      <w:tblGrid>
        <w:gridCol w:w="1275"/>
        <w:gridCol w:w="1044"/>
        <w:gridCol w:w="1245"/>
        <w:gridCol w:w="951"/>
        <w:gridCol w:w="1350"/>
        <w:gridCol w:w="1620"/>
        <w:gridCol w:w="1570"/>
      </w:tblGrid>
      <w:tr w:rsidR="00050A1C" w:rsidRPr="00050A1C" w:rsidTr="00050A1C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Case: 777 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15"/>
        </w:trPr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Station(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Elevation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Width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Mean 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Area (ft^2)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797.61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790.07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236.20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781.67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323.42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783.57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344.26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789.86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15"/>
        </w:trPr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365.10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:rsidR="0064314F" w:rsidRDefault="0064314F"/>
    <w:p w:rsidR="00050A1C" w:rsidRDefault="00050A1C"/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1500"/>
        <w:gridCol w:w="1320"/>
        <w:gridCol w:w="1155"/>
        <w:gridCol w:w="1080"/>
        <w:gridCol w:w="1350"/>
        <w:gridCol w:w="1800"/>
        <w:gridCol w:w="1710"/>
      </w:tblGrid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Case: 7</w:t>
            </w:r>
            <w:r>
              <w:rPr>
                <w:rFonts w:ascii="Calibri" w:eastAsia="Times New Roman" w:hAnsi="Calibri" w:cs="Calibri"/>
                <w:color w:val="000000"/>
              </w:rPr>
              <w:t>80</w:t>
            </w:r>
            <w:r w:rsidRPr="00050A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Station(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Elevation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Width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Mean 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Area (ft^2)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797.61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790.07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236.20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781.67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70.03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47.89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58.60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783.57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28.45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19.64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344.26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789.86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∑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157.08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87.53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87.53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157.08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1.79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97.76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</w:tbl>
    <w:p w:rsidR="00050A1C" w:rsidRDefault="00050A1C"/>
    <w:tbl>
      <w:tblPr>
        <w:tblW w:w="9775" w:type="dxa"/>
        <w:tblInd w:w="93" w:type="dxa"/>
        <w:tblLook w:val="04A0" w:firstRow="1" w:lastRow="0" w:firstColumn="1" w:lastColumn="0" w:noHBand="0" w:noVBand="1"/>
      </w:tblPr>
      <w:tblGrid>
        <w:gridCol w:w="1500"/>
        <w:gridCol w:w="1320"/>
        <w:gridCol w:w="1335"/>
        <w:gridCol w:w="990"/>
        <w:gridCol w:w="1440"/>
        <w:gridCol w:w="1620"/>
        <w:gridCol w:w="1570"/>
      </w:tblGrid>
      <w:tr w:rsidR="00050A1C" w:rsidRPr="00050A1C" w:rsidTr="00DE09A7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Case: 785</w:t>
            </w:r>
            <w:r w:rsidRPr="00050A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DE09A7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Station(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Elevation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Width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Mean 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Area (ft^2)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797.61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790.07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236.20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781.67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196.64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118.15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5.63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269.11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48.02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158.60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783.57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4.68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90.89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20.48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344.26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789.86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14.90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20.89</w:t>
            </w:r>
          </w:p>
        </w:tc>
      </w:tr>
      <w:tr w:rsidR="00050A1C" w:rsidRPr="00050A1C" w:rsidTr="00DE09A7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730.14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227.54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7.93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227.54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730.14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669.43</w:t>
            </w:r>
          </w:p>
        </w:tc>
      </w:tr>
      <w:tr w:rsidR="00050A1C" w:rsidRPr="00050A1C" w:rsidTr="00DE09A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</w:tbl>
    <w:p w:rsidR="00050A1C" w:rsidRDefault="00050A1C"/>
    <w:p w:rsidR="00DE09A7" w:rsidRDefault="00DE09A7"/>
    <w:tbl>
      <w:tblPr>
        <w:tblW w:w="10065" w:type="dxa"/>
        <w:tblInd w:w="93" w:type="dxa"/>
        <w:tblLook w:val="04A0" w:firstRow="1" w:lastRow="0" w:firstColumn="1" w:lastColumn="0" w:noHBand="0" w:noVBand="1"/>
      </w:tblPr>
      <w:tblGrid>
        <w:gridCol w:w="1500"/>
        <w:gridCol w:w="1320"/>
        <w:gridCol w:w="1245"/>
        <w:gridCol w:w="990"/>
        <w:gridCol w:w="1620"/>
        <w:gridCol w:w="1530"/>
        <w:gridCol w:w="1860"/>
      </w:tblGrid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Case: 7</w:t>
            </w:r>
            <w:r>
              <w:rPr>
                <w:rFonts w:ascii="Calibri" w:eastAsia="Times New Roman" w:hAnsi="Calibri" w:cs="Calibri"/>
                <w:color w:val="000000"/>
              </w:rPr>
              <w:t>90</w:t>
            </w:r>
            <w:r w:rsidRPr="00050A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Station(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Elevation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Width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Mean 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Area (ft^2)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797.61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790.07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236.20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781.67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8.33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491.89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118.39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10.63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508.11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48.02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258.60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783.57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6.43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9.68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187.99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20.48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344.26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789.86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3.28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68.46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21.77</w:t>
            </w: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∑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1,516.50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249.50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12.93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249.50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1,516.50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6.08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1.40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2,128.57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2.34</w:t>
            </w:r>
          </w:p>
        </w:tc>
      </w:tr>
    </w:tbl>
    <w:p w:rsidR="00050A1C" w:rsidRDefault="00050A1C"/>
    <w:tbl>
      <w:tblPr>
        <w:tblW w:w="10335" w:type="dxa"/>
        <w:tblInd w:w="93" w:type="dxa"/>
        <w:tblLook w:val="04A0" w:firstRow="1" w:lastRow="0" w:firstColumn="1" w:lastColumn="0" w:noHBand="0" w:noVBand="1"/>
      </w:tblPr>
      <w:tblGrid>
        <w:gridCol w:w="1500"/>
        <w:gridCol w:w="1320"/>
        <w:gridCol w:w="1245"/>
        <w:gridCol w:w="1420"/>
        <w:gridCol w:w="1550"/>
        <w:gridCol w:w="1440"/>
        <w:gridCol w:w="1860"/>
      </w:tblGrid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</w:rPr>
              <w:lastRenderedPageBreak/>
              <w:t>Case: 795</w:t>
            </w:r>
            <w:r w:rsidRPr="00050A1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Station(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Elevation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Width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Mean 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Area (ft^2)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797.61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790.07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291.12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118.20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236.20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781.67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13.33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9.13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1,078.25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118.40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47.80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15.63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747.11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48.02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304.00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777.07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358.60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20.00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783.57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11.43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19.42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14.68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285.09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20.48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344.26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789.86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5.14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8.28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172.66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21.77</w:t>
            </w:r>
          </w:p>
        </w:tc>
      </w:tr>
      <w:tr w:rsidR="00050A1C" w:rsidRPr="00050A1C" w:rsidTr="00050A1C">
        <w:trPr>
          <w:trHeight w:val="315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365.10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795.48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20.84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53.56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21.46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∑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2,986.39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368.33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Water depth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17.93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Wetted perimeter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368.33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Cross-sectional area (ft^2):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2,986.39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Hydraulic radius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8.11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Flow velocity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1.70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Discharge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cfs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5,079.41</w:t>
            </w:r>
          </w:p>
        </w:tc>
      </w:tr>
      <w:tr w:rsidR="00050A1C" w:rsidRPr="00050A1C" w:rsidTr="00050A1C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1C" w:rsidRPr="00050A1C" w:rsidRDefault="00050A1C" w:rsidP="0005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Kinematic wave  celerity (</w:t>
            </w:r>
            <w:proofErr w:type="spellStart"/>
            <w:r w:rsidRPr="00050A1C">
              <w:rPr>
                <w:rFonts w:ascii="Calibri" w:eastAsia="Times New Roman" w:hAnsi="Calibri" w:cs="Calibri"/>
                <w:color w:val="000000"/>
              </w:rPr>
              <w:t>ft</w:t>
            </w:r>
            <w:proofErr w:type="spellEnd"/>
            <w:r w:rsidRPr="00050A1C">
              <w:rPr>
                <w:rFonts w:ascii="Calibri" w:eastAsia="Times New Roman" w:hAnsi="Calibri" w:cs="Calibri"/>
                <w:color w:val="000000"/>
              </w:rPr>
              <w:t>/s):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A1C" w:rsidRPr="00050A1C" w:rsidRDefault="00050A1C" w:rsidP="0005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50A1C">
              <w:rPr>
                <w:rFonts w:ascii="Calibri" w:eastAsia="Times New Roman" w:hAnsi="Calibri" w:cs="Calibri"/>
                <w:color w:val="000000"/>
              </w:rPr>
              <w:t>2.83</w:t>
            </w:r>
          </w:p>
        </w:tc>
      </w:tr>
    </w:tbl>
    <w:p w:rsidR="0064314F" w:rsidRPr="00FF7AF0" w:rsidRDefault="0064314F"/>
    <w:sectPr w:rsidR="0064314F" w:rsidRPr="00FF7AF0" w:rsidSect="00D11FDE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CE7"/>
    <w:multiLevelType w:val="hybridMultilevel"/>
    <w:tmpl w:val="016834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D3238"/>
    <w:multiLevelType w:val="hybridMultilevel"/>
    <w:tmpl w:val="E24069D4"/>
    <w:lvl w:ilvl="0" w:tplc="2020F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F55F9"/>
    <w:multiLevelType w:val="hybridMultilevel"/>
    <w:tmpl w:val="F068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9430D"/>
    <w:multiLevelType w:val="hybridMultilevel"/>
    <w:tmpl w:val="D5EE9E54"/>
    <w:lvl w:ilvl="0" w:tplc="8B6C29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97B12"/>
    <w:multiLevelType w:val="hybridMultilevel"/>
    <w:tmpl w:val="E2A4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0"/>
    <w:rsid w:val="000037AB"/>
    <w:rsid w:val="00003AF6"/>
    <w:rsid w:val="00050A1C"/>
    <w:rsid w:val="000675FF"/>
    <w:rsid w:val="0007367A"/>
    <w:rsid w:val="00086B13"/>
    <w:rsid w:val="00094B64"/>
    <w:rsid w:val="000C65A9"/>
    <w:rsid w:val="000C7696"/>
    <w:rsid w:val="000E106E"/>
    <w:rsid w:val="001413C9"/>
    <w:rsid w:val="00191573"/>
    <w:rsid w:val="001A5CE6"/>
    <w:rsid w:val="001B32C1"/>
    <w:rsid w:val="001D083E"/>
    <w:rsid w:val="001E032B"/>
    <w:rsid w:val="00231DE4"/>
    <w:rsid w:val="00234630"/>
    <w:rsid w:val="0025181D"/>
    <w:rsid w:val="002777A8"/>
    <w:rsid w:val="002C60B7"/>
    <w:rsid w:val="002D5375"/>
    <w:rsid w:val="00332E32"/>
    <w:rsid w:val="00346C70"/>
    <w:rsid w:val="003544AB"/>
    <w:rsid w:val="00356D83"/>
    <w:rsid w:val="003F3526"/>
    <w:rsid w:val="00440BCA"/>
    <w:rsid w:val="00451E83"/>
    <w:rsid w:val="00461867"/>
    <w:rsid w:val="004B1EF0"/>
    <w:rsid w:val="004C5499"/>
    <w:rsid w:val="00543287"/>
    <w:rsid w:val="00565CE1"/>
    <w:rsid w:val="00576C05"/>
    <w:rsid w:val="00585614"/>
    <w:rsid w:val="005E065F"/>
    <w:rsid w:val="005F4B2D"/>
    <w:rsid w:val="006079FB"/>
    <w:rsid w:val="00633826"/>
    <w:rsid w:val="0064314F"/>
    <w:rsid w:val="007006C8"/>
    <w:rsid w:val="00753993"/>
    <w:rsid w:val="008408C8"/>
    <w:rsid w:val="008D7672"/>
    <w:rsid w:val="008E625A"/>
    <w:rsid w:val="008E7236"/>
    <w:rsid w:val="009979FC"/>
    <w:rsid w:val="009A32CA"/>
    <w:rsid w:val="009A4372"/>
    <w:rsid w:val="00A45DB4"/>
    <w:rsid w:val="00A86FD0"/>
    <w:rsid w:val="00B36520"/>
    <w:rsid w:val="00B42491"/>
    <w:rsid w:val="00B8472E"/>
    <w:rsid w:val="00B8692D"/>
    <w:rsid w:val="00B94FCE"/>
    <w:rsid w:val="00B9655E"/>
    <w:rsid w:val="00BA70BA"/>
    <w:rsid w:val="00BB5304"/>
    <w:rsid w:val="00BC6C9D"/>
    <w:rsid w:val="00BF757D"/>
    <w:rsid w:val="00C007AA"/>
    <w:rsid w:val="00C94970"/>
    <w:rsid w:val="00D10596"/>
    <w:rsid w:val="00D11FDE"/>
    <w:rsid w:val="00D51EA4"/>
    <w:rsid w:val="00D73122"/>
    <w:rsid w:val="00DC2273"/>
    <w:rsid w:val="00DD0E76"/>
    <w:rsid w:val="00DE09A7"/>
    <w:rsid w:val="00E01A5A"/>
    <w:rsid w:val="00E16993"/>
    <w:rsid w:val="00E40487"/>
    <w:rsid w:val="00F16EC8"/>
    <w:rsid w:val="00F926D6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6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64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8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006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B64"/>
    <w:pPr>
      <w:spacing w:after="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618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TA%20Hydrology%20Spring%202013\04\Hmwk0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'2'!$D$4:$D$23</c:f>
              <c:numCache>
                <c:formatCode>#,##0.00</c:formatCode>
                <c:ptCount val="20"/>
                <c:pt idx="0">
                  <c:v>0</c:v>
                </c:pt>
                <c:pt idx="1">
                  <c:v>975.61133333333328</c:v>
                </c:pt>
                <c:pt idx="2">
                  <c:v>2019.8053333333332</c:v>
                </c:pt>
                <c:pt idx="3">
                  <c:v>3213.4173333333333</c:v>
                </c:pt>
                <c:pt idx="4">
                  <c:v>4638.6246666666666</c:v>
                </c:pt>
                <c:pt idx="5">
                  <c:v>6343.8066666666664</c:v>
                </c:pt>
                <c:pt idx="6">
                  <c:v>8434.2439999999988</c:v>
                </c:pt>
                <c:pt idx="7">
                  <c:v>10660.433999999999</c:v>
                </c:pt>
                <c:pt idx="8">
                  <c:v>13094.835333333334</c:v>
                </c:pt>
                <c:pt idx="9">
                  <c:v>15992.556666666665</c:v>
                </c:pt>
                <c:pt idx="10">
                  <c:v>19108.159333333333</c:v>
                </c:pt>
                <c:pt idx="11">
                  <c:v>22522.471333333335</c:v>
                </c:pt>
                <c:pt idx="12">
                  <c:v>26300.368666666669</c:v>
                </c:pt>
                <c:pt idx="13">
                  <c:v>28063.409333333333</c:v>
                </c:pt>
                <c:pt idx="14">
                  <c:v>30212.487999999998</c:v>
                </c:pt>
                <c:pt idx="15">
                  <c:v>34776.708666666666</c:v>
                </c:pt>
                <c:pt idx="16">
                  <c:v>41497.323333333326</c:v>
                </c:pt>
                <c:pt idx="17">
                  <c:v>58553.634666666665</c:v>
                </c:pt>
                <c:pt idx="18">
                  <c:v>138180.32266666665</c:v>
                </c:pt>
                <c:pt idx="19">
                  <c:v>271617.56333333335</c:v>
                </c:pt>
              </c:numCache>
            </c:numRef>
          </c:xVal>
          <c:yVal>
            <c:numRef>
              <c:f>'2'!$C$4:$C$23</c:f>
              <c:numCache>
                <c:formatCode>#,##0.00</c:formatCode>
                <c:ptCount val="20"/>
                <c:pt idx="0">
                  <c:v>0</c:v>
                </c:pt>
                <c:pt idx="1">
                  <c:v>94.57</c:v>
                </c:pt>
                <c:pt idx="2">
                  <c:v>98.89</c:v>
                </c:pt>
                <c:pt idx="3">
                  <c:v>102.83</c:v>
                </c:pt>
                <c:pt idx="4">
                  <c:v>106.61</c:v>
                </c:pt>
                <c:pt idx="5">
                  <c:v>110.29</c:v>
                </c:pt>
                <c:pt idx="6">
                  <c:v>113.8</c:v>
                </c:pt>
                <c:pt idx="7">
                  <c:v>117.22</c:v>
                </c:pt>
                <c:pt idx="8">
                  <c:v>120.57</c:v>
                </c:pt>
                <c:pt idx="9">
                  <c:v>123.81</c:v>
                </c:pt>
                <c:pt idx="10">
                  <c:v>126.97</c:v>
                </c:pt>
                <c:pt idx="11">
                  <c:v>130.05000000000001</c:v>
                </c:pt>
                <c:pt idx="12">
                  <c:v>133.07</c:v>
                </c:pt>
                <c:pt idx="13">
                  <c:v>387.16</c:v>
                </c:pt>
                <c:pt idx="14">
                  <c:v>922.26</c:v>
                </c:pt>
                <c:pt idx="15">
                  <c:v>2486.81</c:v>
                </c:pt>
                <c:pt idx="16">
                  <c:v>5186.03</c:v>
                </c:pt>
                <c:pt idx="17">
                  <c:v>14100.09</c:v>
                </c:pt>
                <c:pt idx="18">
                  <c:v>81641.539999999994</c:v>
                </c:pt>
                <c:pt idx="19">
                  <c:v>201496.45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0326912"/>
        <c:axId val="90329088"/>
      </c:scatterChart>
      <c:valAx>
        <c:axId val="90326912"/>
        <c:scaling>
          <c:orientation val="minMax"/>
        </c:scaling>
        <c:delete val="0"/>
        <c:axPos val="b"/>
        <c:title>
          <c:tx>
            <c:strRef>
              <c:f>'2'!$D$3</c:f>
              <c:strCache>
                <c:ptCount val="1"/>
                <c:pt idx="0">
                  <c:v>2S/∆t + Q  (cfs)</c:v>
                </c:pt>
              </c:strCache>
            </c:strRef>
          </c:tx>
          <c:overlay val="0"/>
        </c:title>
        <c:numFmt formatCode="#,##0" sourceLinked="0"/>
        <c:majorTickMark val="out"/>
        <c:minorTickMark val="none"/>
        <c:tickLblPos val="nextTo"/>
        <c:crossAx val="90329088"/>
        <c:crosses val="autoZero"/>
        <c:crossBetween val="midCat"/>
      </c:valAx>
      <c:valAx>
        <c:axId val="90329088"/>
        <c:scaling>
          <c:orientation val="minMax"/>
        </c:scaling>
        <c:delete val="0"/>
        <c:axPos val="l"/>
        <c:title>
          <c:tx>
            <c:strRef>
              <c:f>'2'!$C$3</c:f>
              <c:strCache>
                <c:ptCount val="1"/>
                <c:pt idx="0">
                  <c:v>Discharge (cfs)</c:v>
                </c:pt>
              </c:strCache>
            </c:strRef>
          </c:tx>
          <c:overlay val="0"/>
          <c:txPr>
            <a:bodyPr rot="-5400000" vert="horz"/>
            <a:lstStyle/>
            <a:p>
              <a:pPr>
                <a:defRPr/>
              </a:pPr>
              <a:endParaRPr lang="en-US"/>
            </a:p>
          </c:txPr>
        </c:title>
        <c:numFmt formatCode="#,##0" sourceLinked="0"/>
        <c:majorTickMark val="out"/>
        <c:minorTickMark val="none"/>
        <c:tickLblPos val="nextTo"/>
        <c:crossAx val="903269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8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Davalos, Gonzalo E</dc:creator>
  <cp:lastModifiedBy>Gonzalo</cp:lastModifiedBy>
  <cp:revision>37</cp:revision>
  <dcterms:created xsi:type="dcterms:W3CDTF">2013-02-18T01:39:00Z</dcterms:created>
  <dcterms:modified xsi:type="dcterms:W3CDTF">2013-04-01T20:02:00Z</dcterms:modified>
</cp:coreProperties>
</file>