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2AF" w:rsidRPr="00A902AF" w:rsidRDefault="00A902AF">
      <w:pPr>
        <w:rPr>
          <w:b/>
          <w:sz w:val="28"/>
          <w:szCs w:val="28"/>
        </w:rPr>
      </w:pPr>
      <w:r w:rsidRPr="00A902AF">
        <w:rPr>
          <w:b/>
          <w:sz w:val="28"/>
          <w:szCs w:val="28"/>
        </w:rPr>
        <w:t>WATR404/</w:t>
      </w:r>
      <w:proofErr w:type="gramStart"/>
      <w:r w:rsidRPr="00A902AF">
        <w:rPr>
          <w:b/>
          <w:sz w:val="28"/>
          <w:szCs w:val="28"/>
        </w:rPr>
        <w:t>604  Assignment</w:t>
      </w:r>
      <w:proofErr w:type="gramEnd"/>
      <w:r w:rsidRPr="00A902AF">
        <w:rPr>
          <w:b/>
          <w:sz w:val="28"/>
          <w:szCs w:val="28"/>
        </w:rPr>
        <w:t xml:space="preserve"> #1</w:t>
      </w:r>
    </w:p>
    <w:p w:rsidR="00A902AF" w:rsidRPr="00DB236D" w:rsidRDefault="00A902AF" w:rsidP="00A902AF">
      <w:pPr>
        <w:pStyle w:val="ListParagraph"/>
        <w:numPr>
          <w:ilvl w:val="0"/>
          <w:numId w:val="3"/>
        </w:numPr>
        <w:rPr>
          <w:sz w:val="28"/>
          <w:szCs w:val="28"/>
        </w:rPr>
      </w:pPr>
      <w:r w:rsidRPr="00DB236D">
        <w:rPr>
          <w:sz w:val="28"/>
          <w:szCs w:val="28"/>
        </w:rPr>
        <w:t xml:space="preserve">The web site </w:t>
      </w:r>
      <w:r w:rsidRPr="00DB236D">
        <w:rPr>
          <w:b/>
          <w:sz w:val="28"/>
          <w:szCs w:val="28"/>
        </w:rPr>
        <w:t xml:space="preserve">Land Air Water </w:t>
      </w:r>
      <w:proofErr w:type="spellStart"/>
      <w:r w:rsidRPr="00DB236D">
        <w:rPr>
          <w:b/>
          <w:sz w:val="28"/>
          <w:szCs w:val="28"/>
        </w:rPr>
        <w:t>Aotearoa</w:t>
      </w:r>
      <w:proofErr w:type="spellEnd"/>
      <w:r w:rsidRPr="00DB236D">
        <w:rPr>
          <w:sz w:val="28"/>
          <w:szCs w:val="28"/>
        </w:rPr>
        <w:t xml:space="preserve"> </w:t>
      </w:r>
      <w:hyperlink r:id="rId5" w:history="1">
        <w:r w:rsidRPr="00DB236D">
          <w:rPr>
            <w:rStyle w:val="Hyperlink"/>
            <w:sz w:val="28"/>
            <w:szCs w:val="28"/>
          </w:rPr>
          <w:t>https://www.lawa.org.nz/</w:t>
        </w:r>
      </w:hyperlink>
      <w:r w:rsidRPr="00DB236D">
        <w:rPr>
          <w:sz w:val="28"/>
          <w:szCs w:val="28"/>
        </w:rPr>
        <w:t xml:space="preserve"> presents comprehensive information about the water resources for regions of New Zealand.  </w:t>
      </w:r>
      <w:r w:rsidRPr="00DB236D">
        <w:rPr>
          <w:i/>
          <w:sz w:val="28"/>
          <w:szCs w:val="28"/>
        </w:rPr>
        <w:t>Choose one of these regions</w:t>
      </w:r>
      <w:r w:rsidRPr="00DB236D">
        <w:rPr>
          <w:sz w:val="28"/>
          <w:szCs w:val="28"/>
        </w:rPr>
        <w:t xml:space="preserve"> and prepare a narrative summary of </w:t>
      </w:r>
      <w:r w:rsidR="00DB236D" w:rsidRPr="00DB236D">
        <w:rPr>
          <w:sz w:val="28"/>
          <w:szCs w:val="28"/>
        </w:rPr>
        <w:t xml:space="preserve">the water quality in that region.  </w:t>
      </w:r>
      <w:r w:rsidR="00DB236D" w:rsidRPr="00DB236D">
        <w:rPr>
          <w:i/>
          <w:sz w:val="28"/>
          <w:szCs w:val="28"/>
        </w:rPr>
        <w:t>Choose one swimming site</w:t>
      </w:r>
      <w:r w:rsidR="00DB236D" w:rsidRPr="00DB236D">
        <w:rPr>
          <w:sz w:val="28"/>
          <w:szCs w:val="28"/>
        </w:rPr>
        <w:t xml:space="preserve"> within the region and prepare a narrative summary of water quality conditions at that site.  The total length of the two narrative summaries together cannot exceed two pages.  You can include pictures as part of your summary.</w:t>
      </w:r>
      <w:r w:rsidR="00DB236D">
        <w:rPr>
          <w:sz w:val="28"/>
          <w:szCs w:val="28"/>
        </w:rPr>
        <w:t xml:space="preserve">  Make a pdf document out of this summary.</w:t>
      </w:r>
    </w:p>
    <w:p w:rsidR="00A902AF" w:rsidRDefault="00A902AF" w:rsidP="00A902AF">
      <w:pPr>
        <w:ind w:left="360"/>
      </w:pPr>
      <w:r>
        <w:rPr>
          <w:noProof/>
          <w:lang w:val="en-NZ" w:eastAsia="en-NZ"/>
        </w:rPr>
        <w:drawing>
          <wp:inline distT="0" distB="0" distL="0" distR="0">
            <wp:extent cx="2163445" cy="2627243"/>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9101" cy="2646256"/>
                    </a:xfrm>
                    <a:prstGeom prst="rect">
                      <a:avLst/>
                    </a:prstGeom>
                    <a:noFill/>
                    <a:ln>
                      <a:noFill/>
                    </a:ln>
                  </pic:spPr>
                </pic:pic>
              </a:graphicData>
            </a:graphic>
          </wp:inline>
        </w:drawing>
      </w:r>
      <w:bookmarkStart w:id="0" w:name="_GoBack"/>
      <w:bookmarkEnd w:id="0"/>
    </w:p>
    <w:p w:rsidR="00A66F5D" w:rsidRDefault="00DB236D" w:rsidP="00DB236D">
      <w:pPr>
        <w:pStyle w:val="ListParagraph"/>
        <w:numPr>
          <w:ilvl w:val="0"/>
          <w:numId w:val="3"/>
        </w:numPr>
        <w:rPr>
          <w:sz w:val="28"/>
          <w:szCs w:val="28"/>
        </w:rPr>
      </w:pPr>
      <w:r w:rsidRPr="00DB236D">
        <w:rPr>
          <w:sz w:val="28"/>
          <w:szCs w:val="28"/>
        </w:rPr>
        <w:t xml:space="preserve">Complete the GIS exercise “Introduction to the </w:t>
      </w:r>
      <w:proofErr w:type="spellStart"/>
      <w:r w:rsidRPr="00DB236D">
        <w:rPr>
          <w:sz w:val="28"/>
          <w:szCs w:val="28"/>
        </w:rPr>
        <w:t>Mangatainoka</w:t>
      </w:r>
      <w:proofErr w:type="spellEnd"/>
      <w:r w:rsidRPr="00DB236D">
        <w:rPr>
          <w:sz w:val="28"/>
          <w:szCs w:val="28"/>
        </w:rPr>
        <w:t xml:space="preserve"> Catchment.</w:t>
      </w:r>
    </w:p>
    <w:p w:rsidR="00A66F5D" w:rsidRPr="00EB2C9C" w:rsidRDefault="00A66F5D" w:rsidP="00A66F5D">
      <w:pPr>
        <w:pStyle w:val="ListParagraph"/>
        <w:spacing w:after="0" w:line="240" w:lineRule="auto"/>
        <w:rPr>
          <w:rFonts w:ascii="Times New Roman" w:hAnsi="Times New Roman" w:cs="Times New Roman"/>
          <w:i/>
          <w:sz w:val="28"/>
          <w:szCs w:val="28"/>
        </w:rPr>
      </w:pPr>
      <w:r w:rsidRPr="00EB2C9C">
        <w:rPr>
          <w:rFonts w:ascii="Times New Roman" w:hAnsi="Times New Roman" w:cs="Times New Roman"/>
          <w:i/>
          <w:sz w:val="28"/>
          <w:szCs w:val="28"/>
        </w:rPr>
        <w:t>To be turned in:</w:t>
      </w:r>
    </w:p>
    <w:p w:rsidR="00A66F5D" w:rsidRPr="00EB2C9C" w:rsidRDefault="00A66F5D" w:rsidP="00A66F5D">
      <w:pPr>
        <w:pStyle w:val="ListParagraph"/>
        <w:numPr>
          <w:ilvl w:val="0"/>
          <w:numId w:val="4"/>
        </w:numPr>
        <w:spacing w:after="0" w:line="240" w:lineRule="auto"/>
        <w:rPr>
          <w:rFonts w:ascii="Times New Roman" w:hAnsi="Times New Roman" w:cs="Times New Roman"/>
          <w:i/>
          <w:iCs/>
          <w:sz w:val="28"/>
          <w:szCs w:val="28"/>
        </w:rPr>
      </w:pPr>
      <w:r w:rsidRPr="00EB2C9C">
        <w:rPr>
          <w:rFonts w:ascii="Times New Roman" w:hAnsi="Times New Roman" w:cs="Times New Roman"/>
          <w:i/>
          <w:sz w:val="28"/>
          <w:szCs w:val="28"/>
        </w:rPr>
        <w:t xml:space="preserve">A screen capture of a map of the </w:t>
      </w:r>
      <w:proofErr w:type="spellStart"/>
      <w:r w:rsidRPr="00EB2C9C">
        <w:rPr>
          <w:rFonts w:ascii="Times New Roman" w:hAnsi="Times New Roman" w:cs="Times New Roman"/>
          <w:i/>
          <w:sz w:val="28"/>
          <w:szCs w:val="28"/>
        </w:rPr>
        <w:t>Mangatainoke</w:t>
      </w:r>
      <w:proofErr w:type="spellEnd"/>
      <w:r w:rsidRPr="00EB2C9C">
        <w:rPr>
          <w:rFonts w:ascii="Times New Roman" w:hAnsi="Times New Roman" w:cs="Times New Roman"/>
          <w:i/>
          <w:sz w:val="28"/>
          <w:szCs w:val="28"/>
        </w:rPr>
        <w:t xml:space="preserve"> Catchment, showing the </w:t>
      </w:r>
      <w:proofErr w:type="spellStart"/>
      <w:r w:rsidRPr="00EB2C9C">
        <w:rPr>
          <w:rFonts w:ascii="Times New Roman" w:hAnsi="Times New Roman" w:cs="Times New Roman"/>
          <w:i/>
          <w:sz w:val="28"/>
          <w:szCs w:val="28"/>
        </w:rPr>
        <w:t>SubManagement</w:t>
      </w:r>
      <w:proofErr w:type="spellEnd"/>
      <w:r w:rsidRPr="00EB2C9C">
        <w:rPr>
          <w:rFonts w:ascii="Times New Roman" w:hAnsi="Times New Roman" w:cs="Times New Roman"/>
          <w:i/>
          <w:sz w:val="28"/>
          <w:szCs w:val="28"/>
        </w:rPr>
        <w:t xml:space="preserve"> Zones, river network, water level sites and a background map.</w:t>
      </w:r>
    </w:p>
    <w:p w:rsidR="00A66F5D" w:rsidRPr="00EB2C9C" w:rsidRDefault="00A66F5D" w:rsidP="00A66F5D">
      <w:pPr>
        <w:pStyle w:val="NormalWeb"/>
        <w:ind w:left="720"/>
        <w:rPr>
          <w:rFonts w:ascii="Times New Roman" w:hAnsi="Times New Roman"/>
          <w:sz w:val="28"/>
          <w:szCs w:val="28"/>
        </w:rPr>
      </w:pPr>
      <w:r w:rsidRPr="00EB2C9C">
        <w:rPr>
          <w:rFonts w:ascii="Times New Roman" w:hAnsi="Times New Roman"/>
          <w:i/>
          <w:sz w:val="28"/>
          <w:szCs w:val="28"/>
        </w:rPr>
        <w:t xml:space="preserve">(2) How many river reaches are there in the </w:t>
      </w:r>
      <w:proofErr w:type="spellStart"/>
      <w:r w:rsidRPr="00EB2C9C">
        <w:rPr>
          <w:rFonts w:ascii="Times New Roman" w:hAnsi="Times New Roman"/>
          <w:i/>
          <w:sz w:val="28"/>
          <w:szCs w:val="28"/>
        </w:rPr>
        <w:t>Mangatainoka</w:t>
      </w:r>
      <w:proofErr w:type="spellEnd"/>
      <w:r w:rsidRPr="00EB2C9C">
        <w:rPr>
          <w:rFonts w:ascii="Times New Roman" w:hAnsi="Times New Roman"/>
          <w:i/>
          <w:sz w:val="28"/>
          <w:szCs w:val="28"/>
        </w:rPr>
        <w:t xml:space="preserve"> Catchment?  What is their total length (Km) and average length (Km)</w:t>
      </w:r>
      <w:proofErr w:type="gramStart"/>
      <w:r w:rsidRPr="00EB2C9C">
        <w:rPr>
          <w:rFonts w:ascii="Times New Roman" w:hAnsi="Times New Roman"/>
          <w:i/>
          <w:sz w:val="28"/>
          <w:szCs w:val="28"/>
        </w:rPr>
        <w:t>.</w:t>
      </w:r>
      <w:proofErr w:type="gramEnd"/>
      <w:r w:rsidRPr="00EB2C9C">
        <w:rPr>
          <w:rFonts w:ascii="Times New Roman" w:hAnsi="Times New Roman"/>
          <w:i/>
          <w:sz w:val="28"/>
          <w:szCs w:val="28"/>
        </w:rPr>
        <w:t xml:space="preserve">  How many </w:t>
      </w:r>
      <w:proofErr w:type="spellStart"/>
      <w:r w:rsidRPr="00EB2C9C">
        <w:rPr>
          <w:rFonts w:ascii="Times New Roman" w:hAnsi="Times New Roman"/>
          <w:i/>
          <w:sz w:val="28"/>
          <w:szCs w:val="28"/>
        </w:rPr>
        <w:t>SubmanagementZones</w:t>
      </w:r>
      <w:proofErr w:type="spellEnd"/>
      <w:r w:rsidRPr="00EB2C9C">
        <w:rPr>
          <w:rFonts w:ascii="Times New Roman" w:hAnsi="Times New Roman"/>
          <w:i/>
          <w:sz w:val="28"/>
          <w:szCs w:val="28"/>
        </w:rPr>
        <w:t xml:space="preserve"> are there in the catchment?  What is their total area (Km</w:t>
      </w:r>
      <w:r w:rsidRPr="00EB2C9C">
        <w:rPr>
          <w:rFonts w:ascii="Times New Roman" w:hAnsi="Times New Roman"/>
          <w:i/>
          <w:sz w:val="28"/>
          <w:szCs w:val="28"/>
          <w:vertAlign w:val="superscript"/>
        </w:rPr>
        <w:t>2</w:t>
      </w:r>
      <w:r w:rsidRPr="00EB2C9C">
        <w:rPr>
          <w:rFonts w:ascii="Times New Roman" w:hAnsi="Times New Roman"/>
          <w:i/>
          <w:sz w:val="28"/>
          <w:szCs w:val="28"/>
        </w:rPr>
        <w:t>) and average area (Km</w:t>
      </w:r>
      <w:r w:rsidRPr="00EB2C9C">
        <w:rPr>
          <w:rFonts w:ascii="Times New Roman" w:hAnsi="Times New Roman"/>
          <w:i/>
          <w:sz w:val="28"/>
          <w:szCs w:val="28"/>
          <w:vertAlign w:val="superscript"/>
        </w:rPr>
        <w:t>2</w:t>
      </w:r>
      <w:r w:rsidRPr="00EB2C9C">
        <w:rPr>
          <w:rFonts w:ascii="Times New Roman" w:hAnsi="Times New Roman"/>
          <w:i/>
          <w:sz w:val="28"/>
          <w:szCs w:val="28"/>
        </w:rPr>
        <w:t>)?</w:t>
      </w:r>
    </w:p>
    <w:p w:rsidR="00DB236D" w:rsidRDefault="00DB236D" w:rsidP="00A66F5D">
      <w:pPr>
        <w:pStyle w:val="ListParagraph"/>
        <w:rPr>
          <w:sz w:val="28"/>
          <w:szCs w:val="28"/>
        </w:rPr>
      </w:pPr>
      <w:r w:rsidRPr="00DB236D">
        <w:rPr>
          <w:sz w:val="28"/>
          <w:szCs w:val="28"/>
        </w:rPr>
        <w:t xml:space="preserve">  Prepare the items “To Be Turned In” as a pdf document.</w:t>
      </w:r>
    </w:p>
    <w:p w:rsidR="00A66F5D" w:rsidRPr="00DB236D" w:rsidRDefault="00A66F5D" w:rsidP="00A66F5D">
      <w:pPr>
        <w:pStyle w:val="ListParagraph"/>
        <w:rPr>
          <w:sz w:val="28"/>
          <w:szCs w:val="28"/>
        </w:rPr>
      </w:pPr>
    </w:p>
    <w:p w:rsidR="00DB236D" w:rsidRPr="00DB236D" w:rsidRDefault="00DB236D" w:rsidP="00DB236D">
      <w:pPr>
        <w:pStyle w:val="ListParagraph"/>
        <w:numPr>
          <w:ilvl w:val="0"/>
          <w:numId w:val="3"/>
        </w:numPr>
        <w:rPr>
          <w:sz w:val="28"/>
          <w:szCs w:val="28"/>
        </w:rPr>
      </w:pPr>
      <w:r w:rsidRPr="00DB236D">
        <w:rPr>
          <w:sz w:val="28"/>
          <w:szCs w:val="28"/>
        </w:rPr>
        <w:t>Take the two pdf documents from (1) and (2) and make a single pdf document from them, and submit this to the Learn web site.</w:t>
      </w:r>
    </w:p>
    <w:sectPr w:rsidR="00DB236D" w:rsidRPr="00DB236D" w:rsidSect="00A66F5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35A53"/>
    <w:multiLevelType w:val="hybridMultilevel"/>
    <w:tmpl w:val="824AB546"/>
    <w:lvl w:ilvl="0" w:tplc="2CFE5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6511B"/>
    <w:multiLevelType w:val="hybridMultilevel"/>
    <w:tmpl w:val="FC46A256"/>
    <w:lvl w:ilvl="0" w:tplc="DD906D34">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6DFD4FEC"/>
    <w:multiLevelType w:val="hybridMultilevel"/>
    <w:tmpl w:val="50DA47FC"/>
    <w:lvl w:ilvl="0" w:tplc="96DE5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2674D"/>
    <w:multiLevelType w:val="hybridMultilevel"/>
    <w:tmpl w:val="4E1C0550"/>
    <w:lvl w:ilvl="0" w:tplc="00AAD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AF"/>
    <w:rsid w:val="001C61B6"/>
    <w:rsid w:val="006C7679"/>
    <w:rsid w:val="00A66F5D"/>
    <w:rsid w:val="00A902AF"/>
    <w:rsid w:val="00DB236D"/>
    <w:rsid w:val="00EB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A8255-F9C1-4A98-B9C2-FAAAB61D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2AF"/>
    <w:pPr>
      <w:ind w:left="720"/>
      <w:contextualSpacing/>
    </w:pPr>
  </w:style>
  <w:style w:type="character" w:styleId="Hyperlink">
    <w:name w:val="Hyperlink"/>
    <w:basedOn w:val="DefaultParagraphFont"/>
    <w:uiPriority w:val="99"/>
    <w:unhideWhenUsed/>
    <w:rsid w:val="00A902AF"/>
    <w:rPr>
      <w:color w:val="0563C1" w:themeColor="hyperlink"/>
      <w:u w:val="single"/>
    </w:rPr>
  </w:style>
  <w:style w:type="paragraph" w:styleId="NormalWeb">
    <w:name w:val="Normal (Web)"/>
    <w:basedOn w:val="Normal"/>
    <w:rsid w:val="00A66F5D"/>
    <w:pPr>
      <w:spacing w:before="100" w:beforeAutospacing="1" w:after="100" w:afterAutospacing="1" w:line="276" w:lineRule="auto"/>
    </w:pPr>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awa.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Cockrell School of Engineering</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Maidment, David R</dc:creator>
  <cp:keywords/>
  <dc:description/>
  <cp:lastModifiedBy>David Maidment</cp:lastModifiedBy>
  <cp:revision>3</cp:revision>
  <dcterms:created xsi:type="dcterms:W3CDTF">2018-02-20T22:49:00Z</dcterms:created>
  <dcterms:modified xsi:type="dcterms:W3CDTF">2018-02-20T22:49:00Z</dcterms:modified>
</cp:coreProperties>
</file>