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24" w:rsidRPr="00FE5771" w:rsidRDefault="008B01EE" w:rsidP="00FE5771">
      <w:pPr>
        <w:jc w:val="center"/>
        <w:rPr>
          <w:b/>
          <w:sz w:val="28"/>
          <w:szCs w:val="28"/>
        </w:rPr>
      </w:pPr>
      <w:r>
        <w:rPr>
          <w:b/>
          <w:sz w:val="28"/>
          <w:szCs w:val="28"/>
        </w:rPr>
        <w:t xml:space="preserve">Exercise </w:t>
      </w:r>
      <w:r w:rsidR="00C112A8">
        <w:rPr>
          <w:b/>
          <w:sz w:val="28"/>
          <w:szCs w:val="28"/>
        </w:rPr>
        <w:t>2</w:t>
      </w:r>
      <w:r w:rsidR="00FE5771" w:rsidRPr="00FE5771">
        <w:rPr>
          <w:b/>
          <w:sz w:val="28"/>
          <w:szCs w:val="28"/>
        </w:rPr>
        <w:t xml:space="preserve"> Solution</w:t>
      </w:r>
    </w:p>
    <w:p w:rsidR="00FE5771" w:rsidRPr="00FE5771" w:rsidRDefault="00FE5771" w:rsidP="00FE5771">
      <w:pPr>
        <w:jc w:val="center"/>
        <w:rPr>
          <w:b/>
          <w:sz w:val="28"/>
          <w:szCs w:val="28"/>
        </w:rPr>
      </w:pPr>
      <w:r w:rsidRPr="00FE5771">
        <w:rPr>
          <w:b/>
          <w:sz w:val="28"/>
          <w:szCs w:val="28"/>
        </w:rPr>
        <w:t>GIS in Water Resources</w:t>
      </w:r>
    </w:p>
    <w:p w:rsidR="00FE5771" w:rsidRDefault="00FE5771" w:rsidP="00FE5771">
      <w:pPr>
        <w:jc w:val="center"/>
        <w:rPr>
          <w:b/>
          <w:sz w:val="28"/>
          <w:szCs w:val="28"/>
        </w:rPr>
      </w:pPr>
      <w:r w:rsidRPr="00FE5771">
        <w:rPr>
          <w:b/>
          <w:sz w:val="28"/>
          <w:szCs w:val="28"/>
        </w:rPr>
        <w:t>Fall 201</w:t>
      </w:r>
      <w:r w:rsidR="00D82A8E">
        <w:rPr>
          <w:b/>
          <w:sz w:val="28"/>
          <w:szCs w:val="28"/>
        </w:rPr>
        <w:t>1</w:t>
      </w:r>
    </w:p>
    <w:p w:rsidR="006F0719" w:rsidRPr="006F0719" w:rsidRDefault="006F0719" w:rsidP="00FE5771">
      <w:pPr>
        <w:jc w:val="center"/>
        <w:rPr>
          <w:sz w:val="24"/>
          <w:szCs w:val="24"/>
        </w:rPr>
      </w:pPr>
      <w:r w:rsidRPr="006F0719">
        <w:rPr>
          <w:sz w:val="24"/>
          <w:szCs w:val="24"/>
        </w:rPr>
        <w:t>Prepared by David R. Maidment</w:t>
      </w:r>
    </w:p>
    <w:p w:rsidR="00201ECD" w:rsidRDefault="00273705" w:rsidP="008B01EE">
      <w:pPr>
        <w:pStyle w:val="ListParagraph"/>
        <w:numPr>
          <w:ilvl w:val="0"/>
          <w:numId w:val="1"/>
        </w:numPr>
        <w:spacing w:after="240"/>
      </w:pPr>
      <w:r w:rsidRPr="00F866A2">
        <w:t xml:space="preserve">A </w:t>
      </w:r>
      <w:r w:rsidR="00E05724">
        <w:t xml:space="preserve">screen capture of the </w:t>
      </w:r>
      <w:proofErr w:type="spellStart"/>
      <w:r w:rsidR="00E05724">
        <w:t>NHDFlowlines</w:t>
      </w:r>
      <w:proofErr w:type="spellEnd"/>
      <w:r w:rsidR="00E05724">
        <w:t xml:space="preserve"> and WBD watersheds is shown below</w:t>
      </w:r>
      <w:r w:rsidR="00201ECD">
        <w:t>. In the ‘wbdhu12_a_tx’ layer properties, under Source tab we can read the extent of the map.</w:t>
      </w:r>
    </w:p>
    <w:p w:rsidR="00201ECD" w:rsidRDefault="00201ECD" w:rsidP="00201ECD">
      <w:pPr>
        <w:pStyle w:val="ListParagraph"/>
        <w:spacing w:after="240"/>
      </w:pPr>
    </w:p>
    <w:p w:rsidR="008B01EE" w:rsidRDefault="00201ECD" w:rsidP="00201ECD">
      <w:pPr>
        <w:pStyle w:val="ListParagraph"/>
        <w:spacing w:after="240"/>
      </w:pPr>
      <w:r>
        <w:rPr>
          <w:noProof/>
          <w:lang w:val="es-ES" w:eastAsia="es-ES"/>
        </w:rPr>
        <w:drawing>
          <wp:inline distT="0" distB="0" distL="0" distR="0" wp14:anchorId="357777D6" wp14:editId="433D19EB">
            <wp:extent cx="5880100" cy="4410075"/>
            <wp:effectExtent l="0" t="0" r="6350" b="9525"/>
            <wp:docPr id="7" name="Picture 7" descr="C:\Users\gzlo\Desktop\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zlo\Desktop\01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0100" cy="4410075"/>
                    </a:xfrm>
                    <a:prstGeom prst="rect">
                      <a:avLst/>
                    </a:prstGeom>
                    <a:noFill/>
                    <a:ln>
                      <a:noFill/>
                    </a:ln>
                  </pic:spPr>
                </pic:pic>
              </a:graphicData>
            </a:graphic>
          </wp:inline>
        </w:drawing>
      </w:r>
    </w:p>
    <w:p w:rsidR="00F74F54" w:rsidRDefault="00201ECD" w:rsidP="00F74F54">
      <w:pPr>
        <w:spacing w:after="240"/>
      </w:pPr>
      <w:r>
        <w:rPr>
          <w:noProof/>
          <w:lang w:val="es-ES" w:eastAsia="es-ES"/>
        </w:rPr>
        <w:drawing>
          <wp:inline distT="0" distB="0" distL="0" distR="0">
            <wp:extent cx="4905375" cy="1457325"/>
            <wp:effectExtent l="0" t="0" r="9525" b="9525"/>
            <wp:docPr id="8" name="Picture 8" descr="C:\Users\gzlo\Desktop\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zlo\Desktop\01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1457325"/>
                    </a:xfrm>
                    <a:prstGeom prst="rect">
                      <a:avLst/>
                    </a:prstGeom>
                    <a:noFill/>
                    <a:ln>
                      <a:noFill/>
                    </a:ln>
                  </pic:spPr>
                </pic:pic>
              </a:graphicData>
            </a:graphic>
          </wp:inline>
        </w:drawing>
      </w:r>
    </w:p>
    <w:p w:rsidR="00F74F54" w:rsidRDefault="001D4776" w:rsidP="00DD28D3">
      <w:pPr>
        <w:pStyle w:val="ListParagraph"/>
        <w:numPr>
          <w:ilvl w:val="0"/>
          <w:numId w:val="1"/>
        </w:numPr>
        <w:spacing w:after="240"/>
      </w:pPr>
      <w:r>
        <w:t xml:space="preserve"> </w:t>
      </w:r>
      <w:r w:rsidR="00F91B1B">
        <w:t xml:space="preserve">The HUC12 </w:t>
      </w:r>
      <w:proofErr w:type="spellStart"/>
      <w:r w:rsidR="00F91B1B">
        <w:t>Subwatersheds</w:t>
      </w:r>
      <w:proofErr w:type="spellEnd"/>
      <w:r w:rsidR="00F91B1B">
        <w:t xml:space="preserve"> in the San Marcos Basin are shown below.</w:t>
      </w:r>
    </w:p>
    <w:p w:rsidR="00F91B1B" w:rsidRDefault="00201ECD" w:rsidP="00F91B1B">
      <w:pPr>
        <w:spacing w:after="240"/>
      </w:pPr>
      <w:r>
        <w:rPr>
          <w:noProof/>
          <w:lang w:val="es-ES" w:eastAsia="es-ES"/>
        </w:rPr>
        <w:drawing>
          <wp:inline distT="0" distB="0" distL="0" distR="0">
            <wp:extent cx="6106502" cy="3571875"/>
            <wp:effectExtent l="0" t="0" r="8890" b="0"/>
            <wp:docPr id="9" name="Picture 9" descr="C:\Users\gzlo\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zlo\Desktop\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1255" cy="3574655"/>
                    </a:xfrm>
                    <a:prstGeom prst="rect">
                      <a:avLst/>
                    </a:prstGeom>
                    <a:noFill/>
                    <a:ln>
                      <a:noFill/>
                    </a:ln>
                  </pic:spPr>
                </pic:pic>
              </a:graphicData>
            </a:graphic>
          </wp:inline>
        </w:drawing>
      </w:r>
    </w:p>
    <w:p w:rsidR="00F91B1B" w:rsidRDefault="00EA7722" w:rsidP="00F91B1B">
      <w:pPr>
        <w:spacing w:after="240"/>
      </w:pPr>
      <w:r>
        <w:t xml:space="preserve">If we open the Attribute Table of the Watershed feature class, we’ll find there are </w:t>
      </w:r>
      <w:r w:rsidRPr="00EA7722">
        <w:rPr>
          <w:b/>
        </w:rPr>
        <w:t xml:space="preserve">32 HUC 12 </w:t>
      </w:r>
      <w:proofErr w:type="spellStart"/>
      <w:r w:rsidRPr="00EA7722">
        <w:rPr>
          <w:b/>
        </w:rPr>
        <w:t>Subwatersheds</w:t>
      </w:r>
      <w:proofErr w:type="spellEnd"/>
      <w:r>
        <w:t xml:space="preserve"> in it.</w:t>
      </w:r>
    </w:p>
    <w:p w:rsidR="00EA7722" w:rsidRDefault="00627C61" w:rsidP="00F91B1B">
      <w:pPr>
        <w:spacing w:after="240"/>
      </w:pPr>
      <w:r>
        <w:rPr>
          <w:noProof/>
          <w:lang w:val="es-ES" w:eastAsia="es-ES"/>
        </w:rPr>
        <w:drawing>
          <wp:inline distT="0" distB="0" distL="0" distR="0" wp14:anchorId="182A1E64" wp14:editId="22DCAA30">
            <wp:extent cx="5991225" cy="2533650"/>
            <wp:effectExtent l="0" t="0" r="9525" b="0"/>
            <wp:docPr id="12" name="Picture 12" descr="C:\Users\gzlo\Desktop\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zlo\Desktop\03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2533650"/>
                    </a:xfrm>
                    <a:prstGeom prst="rect">
                      <a:avLst/>
                    </a:prstGeom>
                    <a:noFill/>
                    <a:ln>
                      <a:noFill/>
                    </a:ln>
                  </pic:spPr>
                </pic:pic>
              </a:graphicData>
            </a:graphic>
          </wp:inline>
        </w:drawing>
      </w:r>
    </w:p>
    <w:p w:rsidR="00EA7722" w:rsidRPr="004C1D98" w:rsidRDefault="00EA7722" w:rsidP="00F91B1B">
      <w:pPr>
        <w:spacing w:after="240"/>
      </w:pPr>
      <w:r>
        <w:t xml:space="preserve">The Statistics summary of the ACRES attribute of this feature class is shown above, and the </w:t>
      </w:r>
      <w:r w:rsidRPr="00EA7722">
        <w:rPr>
          <w:b/>
        </w:rPr>
        <w:t>average area</w:t>
      </w:r>
      <w:r>
        <w:t xml:space="preserve"> is</w:t>
      </w:r>
      <w:r w:rsidR="00FA5174">
        <w:t xml:space="preserve"> given by the Mean statistic as</w:t>
      </w:r>
      <w:r>
        <w:t xml:space="preserve"> </w:t>
      </w:r>
      <w:r w:rsidR="00FA5174">
        <w:rPr>
          <w:b/>
        </w:rPr>
        <w:t>27180 a</w:t>
      </w:r>
      <w:r w:rsidRPr="00EA7722">
        <w:rPr>
          <w:b/>
        </w:rPr>
        <w:t>cres</w:t>
      </w:r>
      <w:r>
        <w:t>, or 27180 * 0.0040469 km</w:t>
      </w:r>
      <w:r w:rsidRPr="00EA7722">
        <w:rPr>
          <w:vertAlign w:val="superscript"/>
        </w:rPr>
        <w:t>2</w:t>
      </w:r>
      <w:r>
        <w:t xml:space="preserve"> = 109.99 or </w:t>
      </w:r>
      <w:r w:rsidRPr="00EA7722">
        <w:rPr>
          <w:b/>
        </w:rPr>
        <w:t>110 km</w:t>
      </w:r>
      <w:r w:rsidRPr="00EA7722">
        <w:rPr>
          <w:b/>
          <w:vertAlign w:val="superscript"/>
        </w:rPr>
        <w:t>2</w:t>
      </w:r>
      <w:r>
        <w:t xml:space="preserve">.   The </w:t>
      </w:r>
      <w:r w:rsidRPr="00EA7722">
        <w:rPr>
          <w:b/>
        </w:rPr>
        <w:t>total area</w:t>
      </w:r>
      <w:r>
        <w:t xml:space="preserve"> </w:t>
      </w:r>
      <w:r w:rsidR="004A4502">
        <w:t xml:space="preserve">of the San Marcos Basin </w:t>
      </w:r>
      <w:r>
        <w:t xml:space="preserve">is given by the Sum statistic, which is 869787 acres, or </w:t>
      </w:r>
      <w:r>
        <w:rPr>
          <w:b/>
        </w:rPr>
        <w:t>3519</w:t>
      </w:r>
      <w:r w:rsidR="004C1D98">
        <w:rPr>
          <w:b/>
        </w:rPr>
        <w:t>.9</w:t>
      </w:r>
      <w:r w:rsidRPr="00EA7722">
        <w:rPr>
          <w:b/>
        </w:rPr>
        <w:t xml:space="preserve"> km</w:t>
      </w:r>
      <w:r w:rsidRPr="00EA7722">
        <w:rPr>
          <w:b/>
          <w:vertAlign w:val="superscript"/>
        </w:rPr>
        <w:t>2</w:t>
      </w:r>
      <w:r>
        <w:rPr>
          <w:b/>
        </w:rPr>
        <w:t xml:space="preserve">.  </w:t>
      </w:r>
      <w:r w:rsidR="004C1D98">
        <w:rPr>
          <w:b/>
        </w:rPr>
        <w:t xml:space="preserve">  </w:t>
      </w:r>
      <w:r w:rsidR="004C1D98">
        <w:t xml:space="preserve">A similar Statistics computation on the </w:t>
      </w:r>
      <w:proofErr w:type="spellStart"/>
      <w:r w:rsidR="004C1D98">
        <w:t>Flowline</w:t>
      </w:r>
      <w:proofErr w:type="spellEnd"/>
      <w:r w:rsidR="004C1D98">
        <w:t xml:space="preserve"> feature class shows that the Sum or </w:t>
      </w:r>
      <w:r w:rsidR="004C1D98" w:rsidRPr="004C1D98">
        <w:rPr>
          <w:b/>
        </w:rPr>
        <w:t>Total Length</w:t>
      </w:r>
      <w:r w:rsidR="004C1D98">
        <w:t xml:space="preserve"> of </w:t>
      </w:r>
      <w:proofErr w:type="spellStart"/>
      <w:r w:rsidR="004C1D98">
        <w:t>flowlines</w:t>
      </w:r>
      <w:proofErr w:type="spellEnd"/>
      <w:r w:rsidR="004C1D98">
        <w:t xml:space="preserve"> is </w:t>
      </w:r>
      <w:r w:rsidR="004C1D98" w:rsidRPr="004C1D98">
        <w:rPr>
          <w:b/>
        </w:rPr>
        <w:t xml:space="preserve">1888.4 </w:t>
      </w:r>
      <w:proofErr w:type="gramStart"/>
      <w:r w:rsidR="004C1D98" w:rsidRPr="004C1D98">
        <w:rPr>
          <w:b/>
        </w:rPr>
        <w:t>km</w:t>
      </w:r>
      <w:r w:rsidR="004C1D98">
        <w:t xml:space="preserve"> .</w:t>
      </w:r>
      <w:proofErr w:type="gramEnd"/>
      <w:r w:rsidR="004C1D98">
        <w:t xml:space="preserve">   Hence the </w:t>
      </w:r>
      <w:r w:rsidR="004C1D98" w:rsidRPr="004C1D98">
        <w:rPr>
          <w:b/>
        </w:rPr>
        <w:t>Drainage Density</w:t>
      </w:r>
      <w:r w:rsidR="004C1D98">
        <w:t xml:space="preserve"> = 1888.4/3519.9 = </w:t>
      </w:r>
      <w:r w:rsidR="004C1D98" w:rsidRPr="004C1D98">
        <w:rPr>
          <w:b/>
        </w:rPr>
        <w:t>0.536 km</w:t>
      </w:r>
      <w:r w:rsidR="004C1D98" w:rsidRPr="004C1D98">
        <w:rPr>
          <w:b/>
          <w:vertAlign w:val="superscript"/>
        </w:rPr>
        <w:t>-1</w:t>
      </w:r>
      <w:r w:rsidR="004C1D98">
        <w:t xml:space="preserve">.  This means that there is about half a kilometer of streams to each square kilometer of watershed in these 1:100,000 scale stream data.  There </w:t>
      </w:r>
      <w:r w:rsidR="00FA5174">
        <w:t>is</w:t>
      </w:r>
      <w:r w:rsidR="004C1D98">
        <w:t xml:space="preserve"> a greater length of streams in mor</w:t>
      </w:r>
      <w:r w:rsidR="00FA5174">
        <w:t>e detailed 1:24,000 stream data, which we are not using for this exercise.</w:t>
      </w:r>
    </w:p>
    <w:p w:rsidR="00EA7722" w:rsidRDefault="00627C61" w:rsidP="00F91B1B">
      <w:pPr>
        <w:spacing w:after="240"/>
      </w:pPr>
      <w:r>
        <w:rPr>
          <w:noProof/>
          <w:lang w:val="es-ES" w:eastAsia="es-ES"/>
        </w:rPr>
        <w:drawing>
          <wp:inline distT="0" distB="0" distL="0" distR="0">
            <wp:extent cx="6010275" cy="2524125"/>
            <wp:effectExtent l="0" t="0" r="9525" b="9525"/>
            <wp:docPr id="13" name="Picture 13" descr="C:\Users\gzlo\Desktop\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lo\Desktop\03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2524125"/>
                    </a:xfrm>
                    <a:prstGeom prst="rect">
                      <a:avLst/>
                    </a:prstGeom>
                    <a:noFill/>
                    <a:ln>
                      <a:noFill/>
                    </a:ln>
                  </pic:spPr>
                </pic:pic>
              </a:graphicData>
            </a:graphic>
          </wp:inline>
        </w:drawing>
      </w:r>
    </w:p>
    <w:p w:rsidR="00627B56" w:rsidRDefault="00627B56" w:rsidP="00F91B1B">
      <w:pPr>
        <w:spacing w:after="240"/>
      </w:pPr>
    </w:p>
    <w:p w:rsidR="00627B56" w:rsidRPr="00EA7722" w:rsidRDefault="00627B56" w:rsidP="00627B56">
      <w:pPr>
        <w:pStyle w:val="ListParagraph"/>
        <w:numPr>
          <w:ilvl w:val="0"/>
          <w:numId w:val="1"/>
        </w:numPr>
        <w:spacing w:after="240"/>
      </w:pPr>
      <w:r>
        <w:t>A screen capture showing the San Marcos Basin and streams sized according to mean annual flow, with labels for the Blanco River, the San Marcos River and Plum Creek, is shown below.</w:t>
      </w:r>
    </w:p>
    <w:p w:rsidR="00F91B1B" w:rsidRDefault="00627C61" w:rsidP="00F91B1B">
      <w:pPr>
        <w:spacing w:after="240"/>
      </w:pPr>
      <w:r>
        <w:rPr>
          <w:noProof/>
          <w:lang w:val="es-ES" w:eastAsia="es-ES"/>
        </w:rPr>
        <w:drawing>
          <wp:inline distT="0" distB="0" distL="0" distR="0">
            <wp:extent cx="5686425" cy="3273340"/>
            <wp:effectExtent l="0" t="0" r="0" b="3810"/>
            <wp:docPr id="14" name="Picture 14" descr="C:\Users\gzlo\Desktop\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zlo\Desktop\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3273340"/>
                    </a:xfrm>
                    <a:prstGeom prst="rect">
                      <a:avLst/>
                    </a:prstGeom>
                    <a:noFill/>
                    <a:ln>
                      <a:noFill/>
                    </a:ln>
                  </pic:spPr>
                </pic:pic>
              </a:graphicData>
            </a:graphic>
          </wp:inline>
        </w:drawing>
      </w:r>
    </w:p>
    <w:p w:rsidR="006105C7" w:rsidRDefault="006105C7" w:rsidP="00F91B1B">
      <w:pPr>
        <w:spacing w:after="240"/>
      </w:pPr>
    </w:p>
    <w:p w:rsidR="006F7F5D" w:rsidRDefault="006F7F5D" w:rsidP="006F7F5D">
      <w:pPr>
        <w:pStyle w:val="ListParagraph"/>
        <w:numPr>
          <w:ilvl w:val="0"/>
          <w:numId w:val="1"/>
        </w:numPr>
        <w:spacing w:after="240"/>
      </w:pPr>
      <w:r>
        <w:t xml:space="preserve"> A layout showing the base map and chart</w:t>
      </w:r>
      <w:r w:rsidR="006105C7">
        <w:t xml:space="preserve"> for the San Marcos River flows is shown below</w:t>
      </w:r>
    </w:p>
    <w:p w:rsidR="006F7F5D" w:rsidRDefault="00627C61" w:rsidP="006F7F5D">
      <w:pPr>
        <w:spacing w:after="240"/>
        <w:ind w:left="360"/>
      </w:pPr>
      <w:r>
        <w:rPr>
          <w:noProof/>
          <w:lang w:val="es-ES" w:eastAsia="es-ES"/>
        </w:rPr>
        <w:drawing>
          <wp:inline distT="0" distB="0" distL="0" distR="0" wp14:anchorId="6F05CC4A" wp14:editId="290856EB">
            <wp:extent cx="4286250" cy="566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86250" cy="5667375"/>
                    </a:xfrm>
                    <a:prstGeom prst="rect">
                      <a:avLst/>
                    </a:prstGeom>
                  </pic:spPr>
                </pic:pic>
              </a:graphicData>
            </a:graphic>
          </wp:inline>
        </w:drawing>
      </w:r>
    </w:p>
    <w:p w:rsidR="006105C7" w:rsidRDefault="006105C7" w:rsidP="006105C7">
      <w:pPr>
        <w:pStyle w:val="ListParagraph"/>
        <w:numPr>
          <w:ilvl w:val="0"/>
          <w:numId w:val="1"/>
        </w:numPr>
        <w:spacing w:after="240"/>
      </w:pPr>
      <w:r>
        <w:t xml:space="preserve"> The outcrop area of th</w:t>
      </w:r>
      <w:bookmarkStart w:id="0" w:name="_GoBack"/>
      <w:bookmarkEnd w:id="0"/>
      <w:r>
        <w:t xml:space="preserve">e Edwards Aquifer crosses the Blanco River between the gages at </w:t>
      </w:r>
      <w:r w:rsidRPr="00F71F6F">
        <w:rPr>
          <w:b/>
        </w:rPr>
        <w:t>Wimberley</w:t>
      </w:r>
      <w:r>
        <w:t xml:space="preserve"> and </w:t>
      </w:r>
      <w:r w:rsidRPr="00F71F6F">
        <w:rPr>
          <w:b/>
        </w:rPr>
        <w:t>Kyle</w:t>
      </w:r>
      <w:r>
        <w:t>.   The mean annual flows and drainage areas for these gages are shown below</w:t>
      </w:r>
    </w:p>
    <w:tbl>
      <w:tblPr>
        <w:tblStyle w:val="TableGrid"/>
        <w:tblW w:w="0" w:type="auto"/>
        <w:tblLook w:val="04A0" w:firstRow="1" w:lastRow="0" w:firstColumn="1" w:lastColumn="0" w:noHBand="0" w:noVBand="1"/>
      </w:tblPr>
      <w:tblGrid>
        <w:gridCol w:w="2479"/>
        <w:gridCol w:w="2280"/>
        <w:gridCol w:w="2382"/>
        <w:gridCol w:w="2435"/>
      </w:tblGrid>
      <w:tr w:rsidR="006105C7" w:rsidTr="00AE383E">
        <w:tc>
          <w:tcPr>
            <w:tcW w:w="2692" w:type="dxa"/>
          </w:tcPr>
          <w:p w:rsidR="006105C7" w:rsidRDefault="006105C7" w:rsidP="006105C7">
            <w:pPr>
              <w:spacing w:after="240"/>
            </w:pPr>
            <w:r>
              <w:t>Gage</w:t>
            </w:r>
          </w:p>
        </w:tc>
        <w:tc>
          <w:tcPr>
            <w:tcW w:w="2520" w:type="dxa"/>
          </w:tcPr>
          <w:p w:rsidR="006105C7" w:rsidRDefault="006105C7" w:rsidP="006105C7">
            <w:pPr>
              <w:spacing w:after="240"/>
            </w:pPr>
            <w:r>
              <w:t>Mean Annual Flow (</w:t>
            </w:r>
            <w:proofErr w:type="spellStart"/>
            <w:r>
              <w:t>cfs</w:t>
            </w:r>
            <w:proofErr w:type="spellEnd"/>
            <w:r>
              <w:t>)</w:t>
            </w:r>
          </w:p>
        </w:tc>
        <w:tc>
          <w:tcPr>
            <w:tcW w:w="2610" w:type="dxa"/>
          </w:tcPr>
          <w:p w:rsidR="006105C7" w:rsidRDefault="006105C7" w:rsidP="006105C7">
            <w:pPr>
              <w:spacing w:after="240"/>
            </w:pPr>
            <w:r>
              <w:t>Drainage Area (Sq. Miles)</w:t>
            </w:r>
          </w:p>
        </w:tc>
        <w:tc>
          <w:tcPr>
            <w:tcW w:w="2700" w:type="dxa"/>
          </w:tcPr>
          <w:p w:rsidR="006105C7" w:rsidRDefault="006105C7" w:rsidP="006739C7">
            <w:pPr>
              <w:spacing w:after="240"/>
            </w:pPr>
            <w:r>
              <w:t>Mean Annual Flow (</w:t>
            </w:r>
            <w:proofErr w:type="spellStart"/>
            <w:r>
              <w:t>cfs</w:t>
            </w:r>
            <w:proofErr w:type="spellEnd"/>
            <w:r>
              <w:t>) for period of record to 20</w:t>
            </w:r>
            <w:r w:rsidR="006739C7">
              <w:t>09</w:t>
            </w:r>
          </w:p>
        </w:tc>
      </w:tr>
      <w:tr w:rsidR="006105C7" w:rsidTr="00AE383E">
        <w:tc>
          <w:tcPr>
            <w:tcW w:w="2692" w:type="dxa"/>
          </w:tcPr>
          <w:p w:rsidR="006105C7" w:rsidRDefault="006105C7" w:rsidP="006105C7">
            <w:pPr>
              <w:spacing w:after="240"/>
            </w:pPr>
            <w:r>
              <w:t>Blanco River at Wimberley</w:t>
            </w:r>
          </w:p>
        </w:tc>
        <w:tc>
          <w:tcPr>
            <w:tcW w:w="2520" w:type="dxa"/>
          </w:tcPr>
          <w:p w:rsidR="006105C7" w:rsidRDefault="006105C7" w:rsidP="006105C7">
            <w:pPr>
              <w:spacing w:after="240"/>
            </w:pPr>
            <w:r>
              <w:t>142</w:t>
            </w:r>
          </w:p>
        </w:tc>
        <w:tc>
          <w:tcPr>
            <w:tcW w:w="2610" w:type="dxa"/>
          </w:tcPr>
          <w:p w:rsidR="006105C7" w:rsidRDefault="006105C7" w:rsidP="006105C7">
            <w:pPr>
              <w:spacing w:after="240"/>
            </w:pPr>
            <w:r>
              <w:t>355</w:t>
            </w:r>
          </w:p>
        </w:tc>
        <w:tc>
          <w:tcPr>
            <w:tcW w:w="2700" w:type="dxa"/>
          </w:tcPr>
          <w:p w:rsidR="006105C7" w:rsidRDefault="006105C7" w:rsidP="006105C7">
            <w:pPr>
              <w:spacing w:after="240"/>
            </w:pPr>
            <w:r>
              <w:t>143.3</w:t>
            </w:r>
          </w:p>
        </w:tc>
      </w:tr>
      <w:tr w:rsidR="006105C7" w:rsidTr="00AE383E">
        <w:tc>
          <w:tcPr>
            <w:tcW w:w="2692" w:type="dxa"/>
          </w:tcPr>
          <w:p w:rsidR="006105C7" w:rsidRDefault="006105C7" w:rsidP="006105C7">
            <w:pPr>
              <w:spacing w:after="240"/>
            </w:pPr>
            <w:r>
              <w:t>Blanco River at Kyle</w:t>
            </w:r>
          </w:p>
        </w:tc>
        <w:tc>
          <w:tcPr>
            <w:tcW w:w="2520" w:type="dxa"/>
          </w:tcPr>
          <w:p w:rsidR="006105C7" w:rsidRDefault="006105C7" w:rsidP="006105C7">
            <w:pPr>
              <w:spacing w:after="240"/>
            </w:pPr>
            <w:r>
              <w:t>165</w:t>
            </w:r>
          </w:p>
        </w:tc>
        <w:tc>
          <w:tcPr>
            <w:tcW w:w="2610" w:type="dxa"/>
          </w:tcPr>
          <w:p w:rsidR="006105C7" w:rsidRDefault="006105C7" w:rsidP="006105C7">
            <w:pPr>
              <w:spacing w:after="240"/>
            </w:pPr>
            <w:r>
              <w:t>412</w:t>
            </w:r>
          </w:p>
        </w:tc>
        <w:tc>
          <w:tcPr>
            <w:tcW w:w="2700" w:type="dxa"/>
          </w:tcPr>
          <w:p w:rsidR="006105C7" w:rsidRDefault="006105C7" w:rsidP="006105C7">
            <w:pPr>
              <w:spacing w:after="240"/>
            </w:pPr>
            <w:r>
              <w:t>164.0</w:t>
            </w:r>
          </w:p>
        </w:tc>
      </w:tr>
    </w:tbl>
    <w:p w:rsidR="006105C7" w:rsidRDefault="006105C7" w:rsidP="006105C7">
      <w:pPr>
        <w:spacing w:after="240"/>
      </w:pPr>
      <w:r>
        <w:br/>
        <w:t>I looked up some statistics of these two gages on the</w:t>
      </w:r>
      <w:r w:rsidR="006739C7">
        <w:t xml:space="preserve"> USGS water web site “</w:t>
      </w:r>
      <w:proofErr w:type="spellStart"/>
      <w:r w:rsidR="006739C7">
        <w:t>Streamflow</w:t>
      </w:r>
      <w:proofErr w:type="spellEnd"/>
      <w:r w:rsidR="006739C7">
        <w:t xml:space="preserve"> Statistics Retrieval Site” </w:t>
      </w:r>
      <w:hyperlink r:id="rId13" w:history="1">
        <w:r w:rsidR="006739C7" w:rsidRPr="007555FA">
          <w:rPr>
            <w:rStyle w:val="Hyperlink"/>
          </w:rPr>
          <w:t>http://water.usgs.gov/waterwatch/?m=sitempnn&amp;r=us&amp;w=real%2Cmap</w:t>
        </w:r>
      </w:hyperlink>
      <w:r w:rsidR="006739C7">
        <w:t xml:space="preserve">  In doing so, I found the drainage area in square miles for each gage site, and also an updated mean annual flow to 2009, whose figures differ little from the ones given in the exercise that I got from a USGS </w:t>
      </w:r>
      <w:proofErr w:type="spellStart"/>
      <w:r w:rsidR="006739C7">
        <w:t>streamflow</w:t>
      </w:r>
      <w:proofErr w:type="spellEnd"/>
      <w:r w:rsidR="006739C7">
        <w:t xml:space="preserve"> data book many years ago.    Now, with these data, we can say that the flow per unit drainage area for the Blanco River at Wimberley is 143.3/355 = 0.403 </w:t>
      </w:r>
      <w:proofErr w:type="spellStart"/>
      <w:r w:rsidR="006739C7">
        <w:t>cfs</w:t>
      </w:r>
      <w:proofErr w:type="spellEnd"/>
      <w:r w:rsidR="006739C7">
        <w:t>/</w:t>
      </w:r>
      <w:proofErr w:type="spellStart"/>
      <w:r w:rsidR="006739C7">
        <w:t>sq</w:t>
      </w:r>
      <w:proofErr w:type="spellEnd"/>
      <w:r w:rsidR="006739C7">
        <w:t xml:space="preserve"> mile.   On this basis, we should expect that the mean annual flow at Kyle would be approximately equal to 412 * 0.403 = 163 </w:t>
      </w:r>
      <w:proofErr w:type="spellStart"/>
      <w:r w:rsidR="006739C7">
        <w:t>cfs</w:t>
      </w:r>
      <w:proofErr w:type="spellEnd"/>
      <w:r w:rsidR="006739C7">
        <w:t xml:space="preserve">.   The actual mean annual flow at Kyle is 164 </w:t>
      </w:r>
      <w:proofErr w:type="spellStart"/>
      <w:r w:rsidR="006739C7">
        <w:t>cfs</w:t>
      </w:r>
      <w:proofErr w:type="spellEnd"/>
      <w:r w:rsidR="006739C7">
        <w:t>!  So,</w:t>
      </w:r>
      <w:r w:rsidR="006739C7" w:rsidRPr="006739C7">
        <w:rPr>
          <w:b/>
        </w:rPr>
        <w:t xml:space="preserve"> we really can’t see any impact of the Edwards Aquifer on the flows between these two gages.</w:t>
      </w:r>
    </w:p>
    <w:p w:rsidR="00FA5174" w:rsidRDefault="00FA5174" w:rsidP="00F91B1B">
      <w:pPr>
        <w:spacing w:after="240"/>
      </w:pPr>
    </w:p>
    <w:p w:rsidR="00FA5174" w:rsidRDefault="00FA5174" w:rsidP="00F91B1B">
      <w:pPr>
        <w:spacing w:after="240"/>
      </w:pPr>
    </w:p>
    <w:sectPr w:rsidR="00FA5174" w:rsidSect="0023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4A83"/>
    <w:multiLevelType w:val="hybridMultilevel"/>
    <w:tmpl w:val="304C3D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1B7F36"/>
    <w:multiLevelType w:val="hybridMultilevel"/>
    <w:tmpl w:val="C20E21F0"/>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080A85"/>
    <w:multiLevelType w:val="hybridMultilevel"/>
    <w:tmpl w:val="304C3D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71"/>
    <w:rsid w:val="00006B1B"/>
    <w:rsid w:val="00140818"/>
    <w:rsid w:val="001D4776"/>
    <w:rsid w:val="00201ECD"/>
    <w:rsid w:val="002330FD"/>
    <w:rsid w:val="00273705"/>
    <w:rsid w:val="0033615B"/>
    <w:rsid w:val="004A4502"/>
    <w:rsid w:val="004C1D98"/>
    <w:rsid w:val="00527EEF"/>
    <w:rsid w:val="005704D3"/>
    <w:rsid w:val="006105C7"/>
    <w:rsid w:val="00627B56"/>
    <w:rsid w:val="00627C61"/>
    <w:rsid w:val="006739C7"/>
    <w:rsid w:val="006F0719"/>
    <w:rsid w:val="006F4162"/>
    <w:rsid w:val="006F7F5D"/>
    <w:rsid w:val="00703A24"/>
    <w:rsid w:val="00721ED7"/>
    <w:rsid w:val="007B65EB"/>
    <w:rsid w:val="007F3C08"/>
    <w:rsid w:val="00822006"/>
    <w:rsid w:val="008416C9"/>
    <w:rsid w:val="008B01EE"/>
    <w:rsid w:val="00AE383E"/>
    <w:rsid w:val="00C112A8"/>
    <w:rsid w:val="00D82A8E"/>
    <w:rsid w:val="00DD28D3"/>
    <w:rsid w:val="00E05724"/>
    <w:rsid w:val="00EA7722"/>
    <w:rsid w:val="00F71F6F"/>
    <w:rsid w:val="00F74F54"/>
    <w:rsid w:val="00F91B1B"/>
    <w:rsid w:val="00FA5174"/>
    <w:rsid w:val="00FE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771"/>
    <w:rPr>
      <w:rFonts w:ascii="Tahoma" w:hAnsi="Tahoma" w:cs="Tahoma"/>
      <w:sz w:val="16"/>
      <w:szCs w:val="16"/>
    </w:rPr>
  </w:style>
  <w:style w:type="paragraph" w:styleId="ListParagraph">
    <w:name w:val="List Paragraph"/>
    <w:basedOn w:val="Normal"/>
    <w:uiPriority w:val="34"/>
    <w:qFormat/>
    <w:rsid w:val="00FE5771"/>
    <w:pPr>
      <w:ind w:left="720"/>
      <w:contextualSpacing/>
    </w:pPr>
  </w:style>
  <w:style w:type="character" w:styleId="Hyperlink">
    <w:name w:val="Hyperlink"/>
    <w:basedOn w:val="DefaultParagraphFont"/>
    <w:uiPriority w:val="99"/>
    <w:unhideWhenUsed/>
    <w:rsid w:val="006F4162"/>
    <w:rPr>
      <w:color w:val="0000FF" w:themeColor="hyperlink"/>
      <w:u w:val="single"/>
    </w:rPr>
  </w:style>
  <w:style w:type="table" w:styleId="TableGrid">
    <w:name w:val="Table Grid"/>
    <w:basedOn w:val="TableNormal"/>
    <w:uiPriority w:val="59"/>
    <w:rsid w:val="00610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27C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771"/>
    <w:rPr>
      <w:rFonts w:ascii="Tahoma" w:hAnsi="Tahoma" w:cs="Tahoma"/>
      <w:sz w:val="16"/>
      <w:szCs w:val="16"/>
    </w:rPr>
  </w:style>
  <w:style w:type="paragraph" w:styleId="ListParagraph">
    <w:name w:val="List Paragraph"/>
    <w:basedOn w:val="Normal"/>
    <w:uiPriority w:val="34"/>
    <w:qFormat/>
    <w:rsid w:val="00FE5771"/>
    <w:pPr>
      <w:ind w:left="720"/>
      <w:contextualSpacing/>
    </w:pPr>
  </w:style>
  <w:style w:type="character" w:styleId="Hyperlink">
    <w:name w:val="Hyperlink"/>
    <w:basedOn w:val="DefaultParagraphFont"/>
    <w:uiPriority w:val="99"/>
    <w:unhideWhenUsed/>
    <w:rsid w:val="006F4162"/>
    <w:rPr>
      <w:color w:val="0000FF" w:themeColor="hyperlink"/>
      <w:u w:val="single"/>
    </w:rPr>
  </w:style>
  <w:style w:type="table" w:styleId="TableGrid">
    <w:name w:val="Table Grid"/>
    <w:basedOn w:val="TableNormal"/>
    <w:uiPriority w:val="59"/>
    <w:rsid w:val="00610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27C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ater.usgs.gov/waterwatch/?m=sitempnn&amp;r=us&amp;w=real%2Cmap"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422</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Texas</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maidment</dc:creator>
  <cp:lastModifiedBy>gzlo</cp:lastModifiedBy>
  <cp:revision>5</cp:revision>
  <dcterms:created xsi:type="dcterms:W3CDTF">2011-09-18T20:12:00Z</dcterms:created>
  <dcterms:modified xsi:type="dcterms:W3CDTF">2011-09-18T21:58:00Z</dcterms:modified>
</cp:coreProperties>
</file>